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797A" w:rsidP="00BA52EC" w:rsidRDefault="00C4797A" w14:paraId="5CFD5139" w14:textId="77777777">
      <w:pPr>
        <w:pStyle w:val="Heading1"/>
        <w:spacing w:before="0" w:beforeAutospacing="0" w:after="0" w:afterAutospacing="0"/>
        <w:rPr>
          <w:rFonts w:eastAsia="Times New Roman" w:asciiTheme="minorHAnsi" w:hAnsiTheme="minorHAnsi" w:cstheme="minorHAnsi"/>
          <w:bCs w:val="0"/>
          <w:color w:val="004A88"/>
          <w:sz w:val="36"/>
          <w:szCs w:val="36"/>
        </w:rPr>
      </w:pPr>
    </w:p>
    <w:p w:rsidR="00C4797A" w:rsidP="00EB6F16" w:rsidRDefault="00C4797A" w14:paraId="15D55502" w14:textId="342AEA0B">
      <w:pPr>
        <w:rPr>
          <w:rFonts w:eastAsia="Times New Roman" w:asciiTheme="minorHAnsi" w:hAnsiTheme="minorHAnsi" w:cstheme="minorHAnsi"/>
          <w:bCs/>
          <w:color w:val="004A88"/>
          <w:sz w:val="36"/>
          <w:szCs w:val="36"/>
        </w:rPr>
      </w:pPr>
      <w:r w:rsidRPr="0063299A">
        <w:rPr>
          <w:noProof/>
        </w:rPr>
        <w:drawing>
          <wp:inline distT="0" distB="0" distL="0" distR="0" wp14:anchorId="6D618A4D" wp14:editId="520391CD">
            <wp:extent cx="1555262" cy="777631"/>
            <wp:effectExtent l="0" t="0" r="6985" b="3810"/>
            <wp:docPr id="2" name="Picture 2" descr="SM logo-crest 201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 logo-crest 2014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1359" cy="780680"/>
                    </a:xfrm>
                    <a:prstGeom prst="rect">
                      <a:avLst/>
                    </a:prstGeom>
                    <a:noFill/>
                    <a:ln>
                      <a:noFill/>
                    </a:ln>
                  </pic:spPr>
                </pic:pic>
              </a:graphicData>
            </a:graphic>
          </wp:inline>
        </w:drawing>
      </w:r>
    </w:p>
    <w:p w:rsidRPr="0031775D" w:rsidR="00EB6F16" w:rsidP="00EB6F16" w:rsidRDefault="00EB6F16" w14:paraId="69FA4979" w14:textId="77777777">
      <w:pPr>
        <w:pStyle w:val="Heading1"/>
        <w:spacing w:before="0" w:beforeAutospacing="0" w:after="0" w:afterAutospacing="0"/>
        <w:jc w:val="center"/>
        <w:rPr>
          <w:rFonts w:eastAsia="Times New Roman" w:asciiTheme="minorHAnsi" w:hAnsiTheme="minorHAnsi" w:cstheme="minorHAnsi"/>
          <w:bCs w:val="0"/>
          <w:color w:val="004A88"/>
          <w:sz w:val="36"/>
          <w:szCs w:val="36"/>
        </w:rPr>
      </w:pPr>
      <w:r w:rsidRPr="003359EB">
        <w:rPr>
          <w:rFonts w:eastAsia="Times New Roman" w:asciiTheme="minorHAnsi" w:hAnsiTheme="minorHAnsi" w:cstheme="minorHAnsi"/>
          <w:bCs w:val="0"/>
          <w:color w:val="004A88"/>
          <w:sz w:val="36"/>
          <w:szCs w:val="36"/>
        </w:rPr>
        <w:t>Degree Outcomes Statement 2022</w:t>
      </w:r>
    </w:p>
    <w:p w:rsidR="00802D3D" w:rsidP="00CE4CF1" w:rsidRDefault="00802D3D" w14:paraId="16E45086" w14:textId="09B62446">
      <w:pPr>
        <w:pStyle w:val="NormalWeb"/>
        <w:shd w:val="clear" w:color="auto" w:fill="FFFFFF" w:themeFill="background1"/>
        <w:spacing w:before="0" w:beforeAutospacing="0" w:after="0" w:afterAutospacing="0"/>
        <w:rPr>
          <w:rFonts w:asciiTheme="minorHAnsi" w:hAnsiTheme="minorHAnsi" w:cstheme="minorHAnsi"/>
          <w:color w:val="000000" w:themeColor="text1"/>
          <w:shd w:val="clear" w:color="auto" w:fill="FFFFFF"/>
        </w:rPr>
      </w:pPr>
    </w:p>
    <w:p w:rsidRPr="004C7643" w:rsidR="00EB6F16" w:rsidP="00EB6F16" w:rsidRDefault="00EB6F16" w14:paraId="2B9A4761" w14:textId="5C443BA6">
      <w:pPr>
        <w:pStyle w:val="Style1"/>
        <w:rPr>
          <w:shd w:val="clear" w:color="auto" w:fill="FFFFFF"/>
        </w:rPr>
      </w:pPr>
      <w:r w:rsidRPr="004C7643">
        <w:rPr>
          <w:shd w:val="clear" w:color="auto" w:fill="FFFFFF"/>
        </w:rPr>
        <w:t>Contents</w:t>
      </w:r>
    </w:p>
    <w:p w:rsidRPr="004C7643" w:rsidR="00EB6F16" w:rsidP="00EB6F16" w:rsidRDefault="00EB6F16" w14:paraId="4BE44202" w14:textId="77212C5A">
      <w:pPr>
        <w:pStyle w:val="Style1"/>
      </w:pPr>
      <w:r w:rsidRPr="004C7643">
        <w:t xml:space="preserve">Section 1 </w:t>
      </w:r>
      <w:r w:rsidRPr="004C7643" w:rsidR="00C538B7">
        <w:t>I</w:t>
      </w:r>
      <w:r w:rsidRPr="004C7643">
        <w:t>nstitutional degree classification profile</w:t>
      </w:r>
    </w:p>
    <w:p w:rsidRPr="004C7643" w:rsidR="00EB6F16" w:rsidP="00EB6F16" w:rsidRDefault="00EB6F16" w14:paraId="3A207C20" w14:textId="77777777">
      <w:pPr>
        <w:pStyle w:val="Style1"/>
        <w:rPr>
          <w:bCs/>
        </w:rPr>
      </w:pPr>
      <w:r w:rsidRPr="004C7643">
        <w:t xml:space="preserve">Section </w:t>
      </w:r>
      <w:r w:rsidRPr="004C7643">
        <w:rPr>
          <w:bCs/>
        </w:rPr>
        <w:t xml:space="preserve">2 </w:t>
      </w:r>
      <w:r w:rsidRPr="004C7643">
        <w:t>Changes to our degree classification algorithms</w:t>
      </w:r>
      <w:r w:rsidRPr="004C7643">
        <w:tab/>
      </w:r>
    </w:p>
    <w:p w:rsidRPr="004C7643" w:rsidR="00EB6F16" w:rsidP="00EB6F16" w:rsidRDefault="00EB6F16" w14:paraId="329CEDB2" w14:textId="77777777">
      <w:pPr>
        <w:pStyle w:val="Style1"/>
        <w:rPr>
          <w:bCs/>
        </w:rPr>
      </w:pPr>
      <w:r w:rsidRPr="004C7643">
        <w:t xml:space="preserve">Section 3 </w:t>
      </w:r>
      <w:hyperlink w:tgtFrame="_blank" w:history="1" r:id="rId12">
        <w:r w:rsidRPr="004C7643">
          <w:rPr>
            <w:rStyle w:val="Hyperlink"/>
            <w:color w:val="002060"/>
            <w:u w:val="none"/>
          </w:rPr>
          <w:t xml:space="preserve">Teaching </w:t>
        </w:r>
        <w:r w:rsidRPr="004C7643">
          <w:rPr>
            <w:rStyle w:val="Hyperlink"/>
            <w:bCs/>
            <w:color w:val="002060"/>
            <w:u w:val="none"/>
          </w:rPr>
          <w:t xml:space="preserve">and assessment </w:t>
        </w:r>
        <w:r w:rsidRPr="004C7643">
          <w:rPr>
            <w:rStyle w:val="Hyperlink"/>
            <w:color w:val="002060"/>
            <w:u w:val="none"/>
          </w:rPr>
          <w:t xml:space="preserve">practices </w:t>
        </w:r>
      </w:hyperlink>
    </w:p>
    <w:p w:rsidRPr="004C7643" w:rsidR="00EB6F16" w:rsidP="00EB6F16" w:rsidRDefault="00EB6F16" w14:paraId="4097B4A8" w14:textId="7B06835F">
      <w:pPr>
        <w:pStyle w:val="Style1"/>
        <w:rPr>
          <w:rStyle w:val="Hyperlink"/>
          <w:color w:val="002060"/>
          <w:u w:val="none"/>
        </w:rPr>
      </w:pPr>
      <w:r w:rsidRPr="004C7643">
        <w:t xml:space="preserve">Section 4 </w:t>
      </w:r>
      <w:hyperlink w:tgtFrame="_blank" w:history="1" r:id="rId13">
        <w:r w:rsidRPr="004C7643">
          <w:rPr>
            <w:rStyle w:val="Hyperlink"/>
            <w:color w:val="002060"/>
            <w:u w:val="none"/>
          </w:rPr>
          <w:t>Academic governance</w:t>
        </w:r>
      </w:hyperlink>
      <w:r w:rsidRPr="004C7643">
        <w:rPr>
          <w:rStyle w:val="Hyperlink"/>
          <w:color w:val="002060"/>
          <w:u w:val="none"/>
        </w:rPr>
        <w:t xml:space="preserve"> and leadership</w:t>
      </w:r>
    </w:p>
    <w:p w:rsidRPr="004C7643" w:rsidR="00DD3F88" w:rsidP="00DD3F88" w:rsidRDefault="00DD3F88" w14:paraId="24A60FC3" w14:textId="77777777">
      <w:pPr>
        <w:pStyle w:val="Style1"/>
      </w:pPr>
      <w:r w:rsidRPr="004C7643">
        <w:t>Section 5 Identifying good practice and actions</w:t>
      </w:r>
    </w:p>
    <w:p w:rsidRPr="004C7643" w:rsidR="00DD3F88" w:rsidP="00DD3F88" w:rsidRDefault="00DD3F88" w14:paraId="41AFE3C2" w14:textId="77777777">
      <w:pPr>
        <w:pStyle w:val="Style1"/>
      </w:pPr>
      <w:r w:rsidRPr="004C7643">
        <w:t>Section 6 Risks and challenges</w:t>
      </w:r>
    </w:p>
    <w:p w:rsidRPr="004C7643" w:rsidR="00BE0B92" w:rsidP="00CE4CF1" w:rsidRDefault="00BE0B92" w14:paraId="0B5060BC" w14:textId="259BD2CE">
      <w:pPr>
        <w:pStyle w:val="NormalWeb"/>
        <w:spacing w:before="0" w:beforeAutospacing="0" w:after="0" w:afterAutospacing="0"/>
        <w:rPr>
          <w:rFonts w:asciiTheme="minorHAnsi" w:hAnsiTheme="minorHAnsi" w:cstheme="minorHAnsi"/>
          <w:color w:val="002060"/>
          <w:shd w:val="clear" w:color="auto" w:fill="FFFFFF"/>
        </w:rPr>
      </w:pPr>
    </w:p>
    <w:p w:rsidRPr="004C7643" w:rsidR="003359EB" w:rsidP="00EB6F16" w:rsidRDefault="00EE0621" w14:paraId="4101DD15" w14:textId="3F6FF322">
      <w:pPr>
        <w:pStyle w:val="Style1"/>
      </w:pPr>
      <w:r w:rsidRPr="004C7643">
        <w:t xml:space="preserve">Section </w:t>
      </w:r>
      <w:r w:rsidRPr="004C7643" w:rsidR="001F1F81">
        <w:t>1</w:t>
      </w:r>
      <w:r w:rsidRPr="004C7643" w:rsidR="0049658E">
        <w:t xml:space="preserve"> </w:t>
      </w:r>
      <w:r w:rsidRPr="004C7643" w:rsidR="00C538B7">
        <w:t>I</w:t>
      </w:r>
      <w:r w:rsidRPr="004C7643" w:rsidR="00B0747B">
        <w:t>nstitutional degree classification profile</w:t>
      </w:r>
    </w:p>
    <w:p w:rsidRPr="00940121" w:rsidR="001F1F81" w:rsidP="00940121" w:rsidRDefault="001F1F81" w14:paraId="3FE33DA2" w14:textId="61C530B9">
      <w:pPr>
        <w:shd w:val="clear" w:color="auto" w:fill="FFFFFF"/>
        <w:rPr>
          <w:rFonts w:eastAsia="Times New Roman" w:asciiTheme="minorHAnsi" w:hAnsiTheme="minorHAnsi" w:cstheme="minorHAnsi"/>
          <w:bCs/>
        </w:rPr>
      </w:pPr>
      <w:r w:rsidRPr="006437B7">
        <w:rPr>
          <w:rFonts w:eastAsia="Times New Roman" w:asciiTheme="minorHAnsi" w:hAnsiTheme="minorHAnsi" w:cstheme="minorHAnsi"/>
          <w:bCs/>
        </w:rPr>
        <w:t xml:space="preserve">St Mary’s is a small Catholic university with a student body of around 5,000 students studying on undergraduate and post-graduate programmes. </w:t>
      </w:r>
      <w:r w:rsidR="00940121">
        <w:rPr>
          <w:rFonts w:eastAsia="Times New Roman" w:asciiTheme="minorHAnsi" w:hAnsiTheme="minorHAnsi" w:cstheme="minorHAnsi"/>
          <w:bCs/>
        </w:rPr>
        <w:t xml:space="preserve"> </w:t>
      </w:r>
      <w:r w:rsidR="004F1A90">
        <w:rPr>
          <w:lang w:eastAsia="en-US"/>
        </w:rPr>
        <w:t xml:space="preserve">Over the past 5 years, St Mary’s good honours </w:t>
      </w:r>
      <w:r w:rsidR="00DD021B">
        <w:rPr>
          <w:lang w:eastAsia="en-US"/>
        </w:rPr>
        <w:t>outcomes</w:t>
      </w:r>
      <w:r w:rsidR="004F1A90">
        <w:rPr>
          <w:lang w:eastAsia="en-US"/>
        </w:rPr>
        <w:t xml:space="preserve"> </w:t>
      </w:r>
      <w:r w:rsidR="00DD021B">
        <w:rPr>
          <w:lang w:eastAsia="en-US"/>
        </w:rPr>
        <w:t>(</w:t>
      </w:r>
      <w:r w:rsidR="00DD021B">
        <w:rPr>
          <w:rFonts w:asciiTheme="minorHAnsi" w:hAnsiTheme="minorHAnsi" w:cstheme="minorHAnsi"/>
          <w:color w:val="000000" w:themeColor="text1"/>
          <w:shd w:val="clear" w:color="auto" w:fill="FFFFFF"/>
        </w:rPr>
        <w:t>the proportion of students awarded 1</w:t>
      </w:r>
      <w:r w:rsidRPr="00C433F0" w:rsidR="00DD021B">
        <w:rPr>
          <w:rFonts w:asciiTheme="minorHAnsi" w:hAnsiTheme="minorHAnsi" w:cstheme="minorHAnsi"/>
          <w:color w:val="000000" w:themeColor="text1"/>
          <w:shd w:val="clear" w:color="auto" w:fill="FFFFFF"/>
          <w:vertAlign w:val="superscript"/>
        </w:rPr>
        <w:t>st</w:t>
      </w:r>
      <w:r w:rsidR="00DD021B">
        <w:rPr>
          <w:rFonts w:asciiTheme="minorHAnsi" w:hAnsiTheme="minorHAnsi" w:cstheme="minorHAnsi"/>
          <w:color w:val="000000" w:themeColor="text1"/>
          <w:shd w:val="clear" w:color="auto" w:fill="FFFFFF"/>
        </w:rPr>
        <w:t xml:space="preserve"> class or upper </w:t>
      </w:r>
      <w:r w:rsidR="005D0A2D">
        <w:rPr>
          <w:rFonts w:asciiTheme="minorHAnsi" w:hAnsiTheme="minorHAnsi" w:cstheme="minorHAnsi"/>
          <w:color w:val="000000" w:themeColor="text1"/>
          <w:shd w:val="clear" w:color="auto" w:fill="FFFFFF"/>
        </w:rPr>
        <w:t>second-class</w:t>
      </w:r>
      <w:r w:rsidR="00DD021B">
        <w:rPr>
          <w:rFonts w:asciiTheme="minorHAnsi" w:hAnsiTheme="minorHAnsi" w:cstheme="minorHAnsi"/>
          <w:color w:val="000000" w:themeColor="text1"/>
          <w:shd w:val="clear" w:color="auto" w:fill="FFFFFF"/>
        </w:rPr>
        <w:t xml:space="preserve"> degree) </w:t>
      </w:r>
      <w:r w:rsidR="004F1A90">
        <w:rPr>
          <w:lang w:eastAsia="en-US"/>
        </w:rPr>
        <w:t>have consistently been within 3 percentage points of the Sector average, and in 2020/21 were within 0.</w:t>
      </w:r>
      <w:r w:rsidR="006F061F">
        <w:rPr>
          <w:lang w:eastAsia="en-US"/>
        </w:rPr>
        <w:t>9</w:t>
      </w:r>
      <w:r w:rsidR="004F1A90">
        <w:rPr>
          <w:lang w:eastAsia="en-US"/>
        </w:rPr>
        <w:t xml:space="preserve"> percentage points of the sector average. </w:t>
      </w:r>
      <w:r w:rsidR="004F1A90">
        <w:rPr>
          <w:rFonts w:asciiTheme="minorHAnsi" w:hAnsiTheme="minorHAnsi" w:cstheme="minorHAnsi"/>
          <w:color w:val="000000" w:themeColor="text1"/>
          <w:shd w:val="clear" w:color="auto" w:fill="FFFFFF"/>
        </w:rPr>
        <w:t>During the period 2016/17 to 2021/22 good honours</w:t>
      </w:r>
      <w:r w:rsidR="00DD021B">
        <w:rPr>
          <w:rFonts w:asciiTheme="minorHAnsi" w:hAnsiTheme="minorHAnsi" w:cstheme="minorHAnsi"/>
          <w:color w:val="000000" w:themeColor="text1"/>
          <w:shd w:val="clear" w:color="auto" w:fill="FFFFFF"/>
        </w:rPr>
        <w:t xml:space="preserve"> outcomes</w:t>
      </w:r>
      <w:r w:rsidR="006F061F">
        <w:rPr>
          <w:rFonts w:asciiTheme="minorHAnsi" w:hAnsiTheme="minorHAnsi" w:cstheme="minorHAnsi"/>
          <w:color w:val="000000" w:themeColor="text1"/>
          <w:shd w:val="clear" w:color="auto" w:fill="FFFFFF"/>
        </w:rPr>
        <w:t xml:space="preserve"> at the University</w:t>
      </w:r>
      <w:r w:rsidR="004F1A90">
        <w:rPr>
          <w:rFonts w:asciiTheme="minorHAnsi" w:hAnsiTheme="minorHAnsi" w:cstheme="minorHAnsi"/>
          <w:color w:val="000000" w:themeColor="text1"/>
          <w:shd w:val="clear" w:color="auto" w:fill="FFFFFF"/>
        </w:rPr>
        <w:t xml:space="preserve"> increased from 72.8% to 77.4% (see </w:t>
      </w:r>
      <w:r w:rsidRPr="00C025C4" w:rsidR="00C025C4">
        <w:rPr>
          <w:rFonts w:asciiTheme="minorHAnsi" w:hAnsiTheme="minorHAnsi" w:cstheme="minorHAnsi"/>
          <w:b/>
          <w:color w:val="000000" w:themeColor="text1"/>
          <w:shd w:val="clear" w:color="auto" w:fill="FFFFFF"/>
        </w:rPr>
        <w:t>T</w:t>
      </w:r>
      <w:r w:rsidRPr="00C025C4" w:rsidR="00C93B82">
        <w:rPr>
          <w:rFonts w:asciiTheme="minorHAnsi" w:hAnsiTheme="minorHAnsi" w:cstheme="minorHAnsi"/>
          <w:b/>
          <w:color w:val="000000" w:themeColor="text1"/>
          <w:shd w:val="clear" w:color="auto" w:fill="FFFFFF"/>
        </w:rPr>
        <w:t>able</w:t>
      </w:r>
      <w:r w:rsidRPr="00C025C4" w:rsidR="004F1A90">
        <w:rPr>
          <w:rFonts w:asciiTheme="minorHAnsi" w:hAnsiTheme="minorHAnsi" w:cstheme="minorHAnsi"/>
          <w:b/>
          <w:color w:val="000000" w:themeColor="text1"/>
          <w:shd w:val="clear" w:color="auto" w:fill="FFFFFF"/>
        </w:rPr>
        <w:t xml:space="preserve"> 1</w:t>
      </w:r>
      <w:r w:rsidR="004F1A90">
        <w:rPr>
          <w:rFonts w:asciiTheme="minorHAnsi" w:hAnsiTheme="minorHAnsi" w:cstheme="minorHAnsi"/>
          <w:color w:val="000000" w:themeColor="text1"/>
          <w:shd w:val="clear" w:color="auto" w:fill="FFFFFF"/>
        </w:rPr>
        <w:t xml:space="preserve">). </w:t>
      </w:r>
      <w:r w:rsidRPr="004B710B" w:rsidR="004F1A90">
        <w:rPr>
          <w:rFonts w:asciiTheme="minorHAnsi" w:hAnsiTheme="minorHAnsi" w:cstheme="minorHAnsi"/>
          <w:color w:val="000000" w:themeColor="text1"/>
          <w:shd w:val="clear" w:color="auto" w:fill="FFFFFF"/>
        </w:rPr>
        <w:t xml:space="preserve">The data shows that St Mary’s ranking </w:t>
      </w:r>
      <w:r w:rsidR="004F1A90">
        <w:rPr>
          <w:rFonts w:asciiTheme="minorHAnsi" w:hAnsiTheme="minorHAnsi" w:cstheme="minorHAnsi"/>
          <w:color w:val="000000" w:themeColor="text1"/>
          <w:shd w:val="clear" w:color="auto" w:fill="FFFFFF"/>
        </w:rPr>
        <w:t>compared to the sector of 143 UK H</w:t>
      </w:r>
      <w:r w:rsidR="00DD021B">
        <w:rPr>
          <w:rFonts w:asciiTheme="minorHAnsi" w:hAnsiTheme="minorHAnsi" w:cstheme="minorHAnsi"/>
          <w:color w:val="000000" w:themeColor="text1"/>
          <w:shd w:val="clear" w:color="auto" w:fill="FFFFFF"/>
        </w:rPr>
        <w:t>EI</w:t>
      </w:r>
      <w:r w:rsidR="004F1A90">
        <w:rPr>
          <w:rFonts w:asciiTheme="minorHAnsi" w:hAnsiTheme="minorHAnsi" w:cstheme="minorHAnsi"/>
          <w:color w:val="000000" w:themeColor="text1"/>
          <w:shd w:val="clear" w:color="auto" w:fill="FFFFFF"/>
        </w:rPr>
        <w:t xml:space="preserve">s </w:t>
      </w:r>
      <w:r w:rsidRPr="004B710B" w:rsidR="004F1A90">
        <w:rPr>
          <w:rFonts w:asciiTheme="minorHAnsi" w:hAnsiTheme="minorHAnsi" w:cstheme="minorHAnsi"/>
          <w:color w:val="000000" w:themeColor="text1"/>
          <w:shd w:val="clear" w:color="auto" w:fill="FFFFFF"/>
        </w:rPr>
        <w:t xml:space="preserve">in relation to good honours increased </w:t>
      </w:r>
      <w:r w:rsidR="004F1A90">
        <w:rPr>
          <w:rFonts w:asciiTheme="minorHAnsi" w:hAnsiTheme="minorHAnsi" w:cstheme="minorHAnsi"/>
          <w:color w:val="000000" w:themeColor="text1"/>
          <w:shd w:val="clear" w:color="auto" w:fill="FFFFFF"/>
        </w:rPr>
        <w:t xml:space="preserve">very little </w:t>
      </w:r>
      <w:r w:rsidRPr="004B710B" w:rsidR="004F1A90">
        <w:rPr>
          <w:rFonts w:asciiTheme="minorHAnsi" w:hAnsiTheme="minorHAnsi" w:cstheme="minorHAnsi"/>
          <w:color w:val="000000" w:themeColor="text1"/>
          <w:shd w:val="clear" w:color="auto" w:fill="FFFFFF"/>
        </w:rPr>
        <w:t xml:space="preserve">from </w:t>
      </w:r>
      <w:r w:rsidR="004F1A90">
        <w:rPr>
          <w:rFonts w:asciiTheme="minorHAnsi" w:hAnsiTheme="minorHAnsi" w:cstheme="minorHAnsi"/>
          <w:color w:val="000000" w:themeColor="text1"/>
          <w:shd w:val="clear" w:color="auto" w:fill="FFFFFF"/>
        </w:rPr>
        <w:t>79</w:t>
      </w:r>
      <w:r w:rsidRPr="004B710B" w:rsidR="004F1A90">
        <w:rPr>
          <w:rFonts w:asciiTheme="minorHAnsi" w:hAnsiTheme="minorHAnsi" w:cstheme="minorHAnsi"/>
          <w:color w:val="000000" w:themeColor="text1"/>
          <w:shd w:val="clear" w:color="auto" w:fill="FFFFFF"/>
          <w:vertAlign w:val="superscript"/>
        </w:rPr>
        <w:t>h</w:t>
      </w:r>
      <w:r w:rsidRPr="004B710B" w:rsidR="004F1A90">
        <w:rPr>
          <w:rFonts w:asciiTheme="minorHAnsi" w:hAnsiTheme="minorHAnsi" w:cstheme="minorHAnsi"/>
          <w:color w:val="000000" w:themeColor="text1"/>
          <w:shd w:val="clear" w:color="auto" w:fill="FFFFFF"/>
        </w:rPr>
        <w:t xml:space="preserve"> to 74</w:t>
      </w:r>
      <w:r w:rsidRPr="004B710B" w:rsidR="004F1A90">
        <w:rPr>
          <w:rFonts w:asciiTheme="minorHAnsi" w:hAnsiTheme="minorHAnsi" w:cstheme="minorHAnsi"/>
          <w:color w:val="000000" w:themeColor="text1"/>
          <w:shd w:val="clear" w:color="auto" w:fill="FFFFFF"/>
          <w:vertAlign w:val="superscript"/>
        </w:rPr>
        <w:t>th</w:t>
      </w:r>
      <w:r w:rsidRPr="004B710B" w:rsidR="004F1A90">
        <w:rPr>
          <w:rFonts w:asciiTheme="minorHAnsi" w:hAnsiTheme="minorHAnsi" w:cstheme="minorHAnsi"/>
          <w:color w:val="000000" w:themeColor="text1"/>
          <w:shd w:val="clear" w:color="auto" w:fill="FFFFFF"/>
        </w:rPr>
        <w:t xml:space="preserve"> over the past </w:t>
      </w:r>
      <w:r w:rsidR="004F1A90">
        <w:rPr>
          <w:rFonts w:asciiTheme="minorHAnsi" w:hAnsiTheme="minorHAnsi" w:cstheme="minorHAnsi"/>
          <w:color w:val="000000" w:themeColor="text1"/>
          <w:shd w:val="clear" w:color="auto" w:fill="FFFFFF"/>
        </w:rPr>
        <w:t>5</w:t>
      </w:r>
      <w:r w:rsidRPr="004B710B" w:rsidR="004F1A90">
        <w:rPr>
          <w:rFonts w:asciiTheme="minorHAnsi" w:hAnsiTheme="minorHAnsi" w:cstheme="minorHAnsi"/>
          <w:color w:val="000000" w:themeColor="text1"/>
          <w:shd w:val="clear" w:color="auto" w:fill="FFFFFF"/>
        </w:rPr>
        <w:t xml:space="preserve"> years</w:t>
      </w:r>
      <w:r w:rsidR="004F1A90">
        <w:rPr>
          <w:rFonts w:asciiTheme="minorHAnsi" w:hAnsiTheme="minorHAnsi" w:cstheme="minorHAnsi"/>
          <w:color w:val="000000" w:themeColor="text1"/>
          <w:shd w:val="clear" w:color="auto" w:fill="FFFFFF"/>
        </w:rPr>
        <w:t>.</w:t>
      </w:r>
    </w:p>
    <w:p w:rsidR="00BE0B92" w:rsidP="00CE4CF1" w:rsidRDefault="00BE0B92" w14:paraId="2640A60B" w14:textId="77777777"/>
    <w:tbl>
      <w:tblPr>
        <w:tblStyle w:val="GridTable5Dark-Accent5"/>
        <w:tblW w:w="0" w:type="auto"/>
        <w:jc w:val="center"/>
        <w:tblLook w:val="04A0" w:firstRow="1" w:lastRow="0" w:firstColumn="1" w:lastColumn="0" w:noHBand="0" w:noVBand="1"/>
      </w:tblPr>
      <w:tblGrid>
        <w:gridCol w:w="1281"/>
        <w:gridCol w:w="1295"/>
        <w:gridCol w:w="911"/>
        <w:gridCol w:w="911"/>
        <w:gridCol w:w="911"/>
        <w:gridCol w:w="911"/>
        <w:gridCol w:w="911"/>
        <w:gridCol w:w="902"/>
      </w:tblGrid>
      <w:tr w:rsidR="005B711D" w:rsidTr="005D0A2D" w14:paraId="2A54F5CA" w14:textId="6645EFDA">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tcPr>
          <w:p w:rsidRPr="005D0A2D" w:rsidR="005B711D" w:rsidP="00CE4CF1" w:rsidRDefault="005B711D" w14:paraId="33AB7629" w14:textId="07877881">
            <w:pPr>
              <w:rPr>
                <w:bCs w:val="0"/>
                <w:sz w:val="20"/>
                <w:szCs w:val="20"/>
              </w:rPr>
            </w:pPr>
            <w:r w:rsidRPr="005D0A2D">
              <w:rPr>
                <w:bCs w:val="0"/>
                <w:sz w:val="20"/>
                <w:szCs w:val="20"/>
              </w:rPr>
              <w:t>Awards</w:t>
            </w:r>
          </w:p>
        </w:tc>
        <w:tc>
          <w:tcPr>
            <w:tcW w:w="0" w:type="auto"/>
            <w:noWrap/>
            <w:hideMark/>
          </w:tcPr>
          <w:p w:rsidRPr="00CC760E" w:rsidR="005B711D" w:rsidP="00CE4CF1" w:rsidRDefault="005B711D" w14:paraId="192EC7D8" w14:textId="49E36521">
            <w:pPr>
              <w:cnfStyle w:val="100000000000" w:firstRow="1" w:lastRow="0" w:firstColumn="0" w:lastColumn="0" w:oddVBand="0" w:evenVBand="0" w:oddHBand="0" w:evenHBand="0" w:firstRowFirstColumn="0" w:firstRowLastColumn="0" w:lastRowFirstColumn="0" w:lastRowLastColumn="0"/>
              <w:rPr>
                <w:b w:val="0"/>
                <w:sz w:val="20"/>
                <w:szCs w:val="20"/>
              </w:rPr>
            </w:pPr>
          </w:p>
        </w:tc>
        <w:tc>
          <w:tcPr>
            <w:tcW w:w="0" w:type="auto"/>
            <w:noWrap/>
            <w:hideMark/>
          </w:tcPr>
          <w:p w:rsidRPr="00CC760E" w:rsidR="005B711D" w:rsidP="00CE4CF1" w:rsidRDefault="005B711D" w14:paraId="32B566C3" w14:textId="77777777">
            <w:pPr>
              <w:cnfStyle w:val="100000000000" w:firstRow="1" w:lastRow="0" w:firstColumn="0" w:lastColumn="0" w:oddVBand="0" w:evenVBand="0" w:oddHBand="0" w:evenHBand="0" w:firstRowFirstColumn="0" w:firstRowLastColumn="0" w:lastRowFirstColumn="0" w:lastRowLastColumn="0"/>
              <w:rPr>
                <w:b w:val="0"/>
                <w:sz w:val="20"/>
                <w:szCs w:val="20"/>
              </w:rPr>
            </w:pPr>
            <w:r w:rsidRPr="00CC760E">
              <w:rPr>
                <w:sz w:val="20"/>
                <w:szCs w:val="20"/>
              </w:rPr>
              <w:t>2016/17</w:t>
            </w:r>
          </w:p>
        </w:tc>
        <w:tc>
          <w:tcPr>
            <w:tcW w:w="0" w:type="auto"/>
            <w:noWrap/>
            <w:hideMark/>
          </w:tcPr>
          <w:p w:rsidRPr="00CC760E" w:rsidR="005B711D" w:rsidP="00CE4CF1" w:rsidRDefault="005B711D" w14:paraId="743410A4" w14:textId="77777777">
            <w:pPr>
              <w:cnfStyle w:val="100000000000" w:firstRow="1" w:lastRow="0" w:firstColumn="0" w:lastColumn="0" w:oddVBand="0" w:evenVBand="0" w:oddHBand="0" w:evenHBand="0" w:firstRowFirstColumn="0" w:firstRowLastColumn="0" w:lastRowFirstColumn="0" w:lastRowLastColumn="0"/>
              <w:rPr>
                <w:b w:val="0"/>
                <w:sz w:val="20"/>
                <w:szCs w:val="20"/>
              </w:rPr>
            </w:pPr>
            <w:r w:rsidRPr="00CC760E">
              <w:rPr>
                <w:sz w:val="20"/>
                <w:szCs w:val="20"/>
              </w:rPr>
              <w:t>2017/18</w:t>
            </w:r>
          </w:p>
        </w:tc>
        <w:tc>
          <w:tcPr>
            <w:tcW w:w="0" w:type="auto"/>
            <w:noWrap/>
            <w:hideMark/>
          </w:tcPr>
          <w:p w:rsidRPr="00CC760E" w:rsidR="005B711D" w:rsidP="00CE4CF1" w:rsidRDefault="005B711D" w14:paraId="0C6F6090" w14:textId="77777777">
            <w:pPr>
              <w:cnfStyle w:val="100000000000" w:firstRow="1" w:lastRow="0" w:firstColumn="0" w:lastColumn="0" w:oddVBand="0" w:evenVBand="0" w:oddHBand="0" w:evenHBand="0" w:firstRowFirstColumn="0" w:firstRowLastColumn="0" w:lastRowFirstColumn="0" w:lastRowLastColumn="0"/>
              <w:rPr>
                <w:b w:val="0"/>
                <w:sz w:val="20"/>
                <w:szCs w:val="20"/>
              </w:rPr>
            </w:pPr>
            <w:r w:rsidRPr="00CC760E">
              <w:rPr>
                <w:sz w:val="20"/>
                <w:szCs w:val="20"/>
              </w:rPr>
              <w:t>2018/19</w:t>
            </w:r>
          </w:p>
        </w:tc>
        <w:tc>
          <w:tcPr>
            <w:tcW w:w="0" w:type="auto"/>
            <w:noWrap/>
            <w:hideMark/>
          </w:tcPr>
          <w:p w:rsidRPr="00CC760E" w:rsidR="005B711D" w:rsidP="00CE4CF1" w:rsidRDefault="005B711D" w14:paraId="27D826E4" w14:textId="77777777">
            <w:pPr>
              <w:cnfStyle w:val="100000000000" w:firstRow="1" w:lastRow="0" w:firstColumn="0" w:lastColumn="0" w:oddVBand="0" w:evenVBand="0" w:oddHBand="0" w:evenHBand="0" w:firstRowFirstColumn="0" w:firstRowLastColumn="0" w:lastRowFirstColumn="0" w:lastRowLastColumn="0"/>
              <w:rPr>
                <w:b w:val="0"/>
                <w:sz w:val="20"/>
                <w:szCs w:val="20"/>
              </w:rPr>
            </w:pPr>
            <w:r w:rsidRPr="00CC760E">
              <w:rPr>
                <w:sz w:val="20"/>
                <w:szCs w:val="20"/>
              </w:rPr>
              <w:t>2019/20</w:t>
            </w:r>
          </w:p>
        </w:tc>
        <w:tc>
          <w:tcPr>
            <w:tcW w:w="0" w:type="auto"/>
            <w:noWrap/>
            <w:hideMark/>
          </w:tcPr>
          <w:p w:rsidRPr="00CC760E" w:rsidR="005B711D" w:rsidP="00CE4CF1" w:rsidRDefault="005B711D" w14:paraId="2A58C39C" w14:textId="77777777">
            <w:pPr>
              <w:cnfStyle w:val="100000000000" w:firstRow="1" w:lastRow="0" w:firstColumn="0" w:lastColumn="0" w:oddVBand="0" w:evenVBand="0" w:oddHBand="0" w:evenHBand="0" w:firstRowFirstColumn="0" w:firstRowLastColumn="0" w:lastRowFirstColumn="0" w:lastRowLastColumn="0"/>
              <w:rPr>
                <w:b w:val="0"/>
                <w:sz w:val="20"/>
                <w:szCs w:val="20"/>
              </w:rPr>
            </w:pPr>
            <w:r w:rsidRPr="00CC760E">
              <w:rPr>
                <w:sz w:val="20"/>
                <w:szCs w:val="20"/>
              </w:rPr>
              <w:t>2020/21</w:t>
            </w:r>
          </w:p>
        </w:tc>
        <w:tc>
          <w:tcPr>
            <w:tcW w:w="0" w:type="auto"/>
          </w:tcPr>
          <w:p w:rsidRPr="00CC760E" w:rsidR="005B711D" w:rsidP="00CE4CF1" w:rsidRDefault="005B711D" w14:paraId="240F7BA1" w14:textId="0A74E220">
            <w:pP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2021/22</w:t>
            </w:r>
          </w:p>
        </w:tc>
      </w:tr>
      <w:tr w:rsidR="005D0A2D" w:rsidTr="005D0A2D" w14:paraId="4170867F" w14:textId="01068584">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tcPr>
          <w:p w:rsidRPr="005D0A2D" w:rsidR="005B711D" w:rsidP="00CE4CF1" w:rsidRDefault="005B711D" w14:paraId="7253430E" w14:textId="569089C7">
            <w:pPr>
              <w:rPr>
                <w:rFonts w:asciiTheme="minorHAnsi" w:hAnsiTheme="minorHAnsi" w:cstheme="minorHAnsi"/>
                <w:bCs w:val="0"/>
                <w:sz w:val="18"/>
                <w:szCs w:val="18"/>
              </w:rPr>
            </w:pPr>
            <w:r w:rsidRPr="005D0A2D">
              <w:rPr>
                <w:rFonts w:asciiTheme="minorHAnsi" w:hAnsiTheme="minorHAnsi" w:cstheme="minorHAnsi"/>
                <w:bCs w:val="0"/>
                <w:sz w:val="18"/>
                <w:szCs w:val="18"/>
              </w:rPr>
              <w:t>Good honours</w:t>
            </w:r>
          </w:p>
        </w:tc>
        <w:tc>
          <w:tcPr>
            <w:tcW w:w="0" w:type="auto"/>
            <w:shd w:val="clear" w:color="auto" w:fill="DEEAF6" w:themeFill="accent5" w:themeFillTint="33"/>
            <w:noWrap/>
            <w:hideMark/>
          </w:tcPr>
          <w:p w:rsidRPr="004F1A90" w:rsidR="005B711D" w:rsidP="00CE4CF1" w:rsidRDefault="005B711D" w14:paraId="1866101D" w14:textId="1047C54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St Mary’s</w:t>
            </w:r>
          </w:p>
        </w:tc>
        <w:tc>
          <w:tcPr>
            <w:tcW w:w="0" w:type="auto"/>
            <w:shd w:val="clear" w:color="auto" w:fill="DEEAF6" w:themeFill="accent5" w:themeFillTint="33"/>
            <w:noWrap/>
            <w:hideMark/>
          </w:tcPr>
          <w:p w:rsidRPr="0031775D" w:rsidR="005B711D" w:rsidP="00CE4CF1" w:rsidRDefault="005B711D" w14:paraId="1E84F830"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72.8%</w:t>
            </w:r>
          </w:p>
        </w:tc>
        <w:tc>
          <w:tcPr>
            <w:tcW w:w="0" w:type="auto"/>
            <w:shd w:val="clear" w:color="auto" w:fill="DEEAF6" w:themeFill="accent5" w:themeFillTint="33"/>
            <w:noWrap/>
            <w:hideMark/>
          </w:tcPr>
          <w:p w:rsidRPr="0031775D" w:rsidR="005B711D" w:rsidP="00CE4CF1" w:rsidRDefault="005B711D" w14:paraId="6E320022"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76.9%</w:t>
            </w:r>
          </w:p>
        </w:tc>
        <w:tc>
          <w:tcPr>
            <w:tcW w:w="0" w:type="auto"/>
            <w:shd w:val="clear" w:color="auto" w:fill="DEEAF6" w:themeFill="accent5" w:themeFillTint="33"/>
            <w:noWrap/>
            <w:hideMark/>
          </w:tcPr>
          <w:p w:rsidRPr="0031775D" w:rsidR="005B711D" w:rsidP="00CE4CF1" w:rsidRDefault="005B711D" w14:paraId="0F3C091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74.3%</w:t>
            </w:r>
          </w:p>
        </w:tc>
        <w:tc>
          <w:tcPr>
            <w:tcW w:w="0" w:type="auto"/>
            <w:shd w:val="clear" w:color="auto" w:fill="DEEAF6" w:themeFill="accent5" w:themeFillTint="33"/>
            <w:noWrap/>
            <w:hideMark/>
          </w:tcPr>
          <w:p w:rsidRPr="0031775D" w:rsidR="005B711D" w:rsidP="00CE4CF1" w:rsidRDefault="005B711D" w14:paraId="0D36ABF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82.9%</w:t>
            </w:r>
          </w:p>
        </w:tc>
        <w:tc>
          <w:tcPr>
            <w:tcW w:w="0" w:type="auto"/>
            <w:shd w:val="clear" w:color="auto" w:fill="DEEAF6" w:themeFill="accent5" w:themeFillTint="33"/>
            <w:noWrap/>
            <w:hideMark/>
          </w:tcPr>
          <w:p w:rsidRPr="0031775D" w:rsidR="005B711D" w:rsidP="00CE4CF1" w:rsidRDefault="005B711D" w14:paraId="057054C4"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81.8%</w:t>
            </w:r>
          </w:p>
        </w:tc>
        <w:tc>
          <w:tcPr>
            <w:tcW w:w="0" w:type="auto"/>
            <w:shd w:val="clear" w:color="auto" w:fill="DEEAF6" w:themeFill="accent5" w:themeFillTint="33"/>
          </w:tcPr>
          <w:p w:rsidRPr="0031775D" w:rsidR="005B711D" w:rsidP="00CE4CF1" w:rsidRDefault="005B711D" w14:paraId="723CCB01" w14:textId="6B978CE9">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77.4%</w:t>
            </w:r>
          </w:p>
        </w:tc>
      </w:tr>
      <w:tr w:rsidR="005B711D" w:rsidTr="005D0A2D" w14:paraId="0D860A57" w14:textId="77777777">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tcPr>
          <w:p w:rsidRPr="005D0A2D" w:rsidR="005B711D" w:rsidP="00CE4CF1" w:rsidRDefault="005B711D" w14:paraId="6523A402" w14:textId="77777777">
            <w:pPr>
              <w:rPr>
                <w:rFonts w:asciiTheme="minorHAnsi" w:hAnsiTheme="minorHAnsi" w:cstheme="minorHAnsi"/>
                <w:bCs w:val="0"/>
                <w:sz w:val="18"/>
                <w:szCs w:val="18"/>
              </w:rPr>
            </w:pPr>
          </w:p>
        </w:tc>
        <w:tc>
          <w:tcPr>
            <w:tcW w:w="0" w:type="auto"/>
            <w:noWrap/>
          </w:tcPr>
          <w:p w:rsidRPr="00B83C3C" w:rsidR="005B711D" w:rsidP="00CE4CF1" w:rsidRDefault="00D31CAC" w14:paraId="57160784" w14:textId="7704A34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8"/>
                <w:szCs w:val="18"/>
              </w:rPr>
            </w:pPr>
            <w:r w:rsidRPr="00B83C3C">
              <w:rPr>
                <w:rFonts w:asciiTheme="minorHAnsi" w:hAnsiTheme="minorHAnsi" w:cstheme="minorHAnsi"/>
                <w:b/>
                <w:color w:val="000000" w:themeColor="text1"/>
                <w:sz w:val="18"/>
                <w:szCs w:val="18"/>
              </w:rPr>
              <w:t>London</w:t>
            </w:r>
          </w:p>
        </w:tc>
        <w:tc>
          <w:tcPr>
            <w:tcW w:w="0" w:type="auto"/>
            <w:noWrap/>
          </w:tcPr>
          <w:p w:rsidRPr="0031775D" w:rsidR="005B711D" w:rsidP="00CE4CF1" w:rsidRDefault="005B711D" w14:paraId="032B2EBF" w14:textId="5C9CDF2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Pr>
                <w:rFonts w:eastAsia="Times New Roman" w:asciiTheme="minorHAnsi" w:hAnsiTheme="minorHAnsi" w:cstheme="minorHAnsi"/>
                <w:sz w:val="18"/>
                <w:szCs w:val="18"/>
              </w:rPr>
              <w:t>73.0</w:t>
            </w:r>
          </w:p>
        </w:tc>
        <w:tc>
          <w:tcPr>
            <w:tcW w:w="0" w:type="auto"/>
            <w:noWrap/>
          </w:tcPr>
          <w:p w:rsidRPr="0031775D" w:rsidR="005B711D" w:rsidP="00CE4CF1" w:rsidRDefault="005B711D" w14:paraId="2AACF60F" w14:textId="7B4CAD1E">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Pr>
                <w:rFonts w:eastAsia="Times New Roman" w:asciiTheme="minorHAnsi" w:hAnsiTheme="minorHAnsi" w:cstheme="minorHAnsi"/>
                <w:sz w:val="18"/>
                <w:szCs w:val="18"/>
              </w:rPr>
              <w:t>74.7</w:t>
            </w:r>
          </w:p>
        </w:tc>
        <w:tc>
          <w:tcPr>
            <w:tcW w:w="0" w:type="auto"/>
            <w:noWrap/>
          </w:tcPr>
          <w:p w:rsidRPr="0031775D" w:rsidR="005B711D" w:rsidP="00CE4CF1" w:rsidRDefault="005B711D" w14:paraId="4868586C" w14:textId="1921E5F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Pr>
                <w:rFonts w:eastAsia="Times New Roman" w:asciiTheme="minorHAnsi" w:hAnsiTheme="minorHAnsi" w:cstheme="minorHAnsi"/>
                <w:sz w:val="18"/>
                <w:szCs w:val="18"/>
              </w:rPr>
              <w:t>74.1</w:t>
            </w:r>
          </w:p>
        </w:tc>
        <w:tc>
          <w:tcPr>
            <w:tcW w:w="0" w:type="auto"/>
            <w:noWrap/>
          </w:tcPr>
          <w:p w:rsidRPr="0031775D" w:rsidR="005B711D" w:rsidP="00CE4CF1" w:rsidRDefault="005B711D" w14:paraId="6614EFD7" w14:textId="5D77E389">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Pr>
                <w:rFonts w:eastAsia="Times New Roman" w:asciiTheme="minorHAnsi" w:hAnsiTheme="minorHAnsi" w:cstheme="minorHAnsi"/>
                <w:sz w:val="18"/>
                <w:szCs w:val="18"/>
              </w:rPr>
              <w:t>80.6</w:t>
            </w:r>
          </w:p>
        </w:tc>
        <w:tc>
          <w:tcPr>
            <w:tcW w:w="0" w:type="auto"/>
            <w:noWrap/>
          </w:tcPr>
          <w:p w:rsidRPr="0031775D" w:rsidR="005B711D" w:rsidP="00CE4CF1" w:rsidRDefault="005B711D" w14:paraId="4C41E552" w14:textId="50A09E36">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Pr>
                <w:rFonts w:eastAsia="Times New Roman" w:asciiTheme="minorHAnsi" w:hAnsiTheme="minorHAnsi" w:cstheme="minorHAnsi"/>
                <w:sz w:val="18"/>
                <w:szCs w:val="18"/>
              </w:rPr>
              <w:t>81.1</w:t>
            </w:r>
          </w:p>
        </w:tc>
        <w:tc>
          <w:tcPr>
            <w:tcW w:w="0" w:type="auto"/>
          </w:tcPr>
          <w:p w:rsidRPr="0031775D" w:rsidR="005B711D" w:rsidP="00CE4CF1" w:rsidRDefault="005B711D" w14:paraId="170748F1"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r>
      <w:tr w:rsidR="005D0A2D" w:rsidTr="005D0A2D" w14:paraId="734E6D7B" w14:textId="7777777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tcPr>
          <w:p w:rsidRPr="005D0A2D" w:rsidR="005B711D" w:rsidP="00CE4CF1" w:rsidRDefault="005B711D" w14:paraId="7B34F4F6" w14:textId="77777777">
            <w:pPr>
              <w:rPr>
                <w:rFonts w:asciiTheme="minorHAnsi" w:hAnsiTheme="minorHAnsi" w:cstheme="minorHAnsi"/>
                <w:bCs w:val="0"/>
                <w:sz w:val="18"/>
                <w:szCs w:val="18"/>
              </w:rPr>
            </w:pPr>
          </w:p>
        </w:tc>
        <w:tc>
          <w:tcPr>
            <w:tcW w:w="0" w:type="auto"/>
            <w:shd w:val="clear" w:color="auto" w:fill="DEEAF6" w:themeFill="accent5" w:themeFillTint="33"/>
            <w:noWrap/>
          </w:tcPr>
          <w:p w:rsidRPr="00B83C3C" w:rsidR="005B711D" w:rsidP="00CE4CF1" w:rsidRDefault="005B711D" w14:paraId="6174FB02" w14:textId="51EEF92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8"/>
                <w:szCs w:val="18"/>
              </w:rPr>
            </w:pPr>
            <w:r w:rsidRPr="00B83C3C">
              <w:rPr>
                <w:rFonts w:asciiTheme="minorHAnsi" w:hAnsiTheme="minorHAnsi" w:cstheme="minorHAnsi"/>
                <w:b/>
                <w:color w:val="000000" w:themeColor="text1"/>
                <w:sz w:val="18"/>
                <w:szCs w:val="18"/>
              </w:rPr>
              <w:t>Sector</w:t>
            </w:r>
          </w:p>
        </w:tc>
        <w:tc>
          <w:tcPr>
            <w:tcW w:w="0" w:type="auto"/>
            <w:shd w:val="clear" w:color="auto" w:fill="DEEAF6" w:themeFill="accent5" w:themeFillTint="33"/>
            <w:noWrap/>
          </w:tcPr>
          <w:p w:rsidRPr="0031775D" w:rsidR="005B711D" w:rsidP="00CE4CF1" w:rsidRDefault="005B711D" w14:paraId="5FCE71BD" w14:textId="49DCB3A4">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18"/>
                <w:szCs w:val="18"/>
              </w:rPr>
            </w:pPr>
            <w:r>
              <w:rPr>
                <w:rFonts w:eastAsia="Times New Roman" w:asciiTheme="minorHAnsi" w:hAnsiTheme="minorHAnsi" w:cstheme="minorHAnsi"/>
                <w:sz w:val="18"/>
                <w:szCs w:val="18"/>
              </w:rPr>
              <w:t>74.0</w:t>
            </w:r>
          </w:p>
        </w:tc>
        <w:tc>
          <w:tcPr>
            <w:tcW w:w="0" w:type="auto"/>
            <w:shd w:val="clear" w:color="auto" w:fill="DEEAF6" w:themeFill="accent5" w:themeFillTint="33"/>
            <w:noWrap/>
          </w:tcPr>
          <w:p w:rsidRPr="0031775D" w:rsidR="005B711D" w:rsidP="00CE4CF1" w:rsidRDefault="005B711D" w14:paraId="0DEE3CB9" w14:textId="10FA93EA">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18"/>
                <w:szCs w:val="18"/>
              </w:rPr>
            </w:pPr>
            <w:r>
              <w:rPr>
                <w:rFonts w:eastAsia="Times New Roman" w:asciiTheme="minorHAnsi" w:hAnsiTheme="minorHAnsi" w:cstheme="minorHAnsi"/>
                <w:sz w:val="18"/>
                <w:szCs w:val="18"/>
              </w:rPr>
              <w:t>75.2</w:t>
            </w:r>
          </w:p>
        </w:tc>
        <w:tc>
          <w:tcPr>
            <w:tcW w:w="0" w:type="auto"/>
            <w:shd w:val="clear" w:color="auto" w:fill="DEEAF6" w:themeFill="accent5" w:themeFillTint="33"/>
            <w:noWrap/>
          </w:tcPr>
          <w:p w:rsidRPr="0031775D" w:rsidR="005B711D" w:rsidP="00CE4CF1" w:rsidRDefault="005B711D" w14:paraId="079C4F9D" w14:textId="347D5FF3">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18"/>
                <w:szCs w:val="18"/>
              </w:rPr>
            </w:pPr>
            <w:r>
              <w:rPr>
                <w:rFonts w:eastAsia="Times New Roman" w:asciiTheme="minorHAnsi" w:hAnsiTheme="minorHAnsi" w:cstheme="minorHAnsi"/>
                <w:sz w:val="18"/>
                <w:szCs w:val="18"/>
              </w:rPr>
              <w:t>75.2</w:t>
            </w:r>
          </w:p>
        </w:tc>
        <w:tc>
          <w:tcPr>
            <w:tcW w:w="0" w:type="auto"/>
            <w:shd w:val="clear" w:color="auto" w:fill="DEEAF6" w:themeFill="accent5" w:themeFillTint="33"/>
            <w:noWrap/>
          </w:tcPr>
          <w:p w:rsidRPr="0031775D" w:rsidR="005B711D" w:rsidP="00CE4CF1" w:rsidRDefault="005B711D" w14:paraId="12A6FBAD" w14:textId="50C1288C">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18"/>
                <w:szCs w:val="18"/>
              </w:rPr>
            </w:pPr>
            <w:r>
              <w:rPr>
                <w:rFonts w:eastAsia="Times New Roman" w:asciiTheme="minorHAnsi" w:hAnsiTheme="minorHAnsi" w:cstheme="minorHAnsi"/>
                <w:sz w:val="18"/>
                <w:szCs w:val="18"/>
              </w:rPr>
              <w:t>80.1</w:t>
            </w:r>
          </w:p>
        </w:tc>
        <w:tc>
          <w:tcPr>
            <w:tcW w:w="0" w:type="auto"/>
            <w:shd w:val="clear" w:color="auto" w:fill="DEEAF6" w:themeFill="accent5" w:themeFillTint="33"/>
            <w:noWrap/>
          </w:tcPr>
          <w:p w:rsidRPr="0031775D" w:rsidR="005B711D" w:rsidP="00CE4CF1" w:rsidRDefault="005B711D" w14:paraId="2B11D3D2" w14:textId="00C57204">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18"/>
                <w:szCs w:val="18"/>
              </w:rPr>
            </w:pPr>
            <w:r>
              <w:rPr>
                <w:rFonts w:eastAsia="Times New Roman" w:asciiTheme="minorHAnsi" w:hAnsiTheme="minorHAnsi" w:cstheme="minorHAnsi"/>
                <w:sz w:val="18"/>
                <w:szCs w:val="18"/>
              </w:rPr>
              <w:t>80.9</w:t>
            </w:r>
          </w:p>
        </w:tc>
        <w:tc>
          <w:tcPr>
            <w:tcW w:w="0" w:type="auto"/>
            <w:shd w:val="clear" w:color="auto" w:fill="DEEAF6" w:themeFill="accent5" w:themeFillTint="33"/>
          </w:tcPr>
          <w:p w:rsidRPr="0031775D" w:rsidR="005B711D" w:rsidP="00CE4CF1" w:rsidRDefault="005B711D" w14:paraId="65F7ED10"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18"/>
                <w:szCs w:val="18"/>
              </w:rPr>
            </w:pPr>
          </w:p>
        </w:tc>
      </w:tr>
      <w:tr w:rsidR="005B711D" w:rsidTr="005D0A2D" w14:paraId="5672544A" w14:textId="2144CC18">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tcPr>
          <w:p w:rsidRPr="005D0A2D" w:rsidR="005B711D" w:rsidP="00CE4CF1" w:rsidRDefault="005B711D" w14:paraId="418C6965" w14:textId="77777777">
            <w:pPr>
              <w:rPr>
                <w:rFonts w:asciiTheme="minorHAnsi" w:hAnsiTheme="minorHAnsi" w:cstheme="minorHAnsi"/>
                <w:bCs w:val="0"/>
                <w:sz w:val="18"/>
                <w:szCs w:val="18"/>
              </w:rPr>
            </w:pPr>
          </w:p>
        </w:tc>
        <w:tc>
          <w:tcPr>
            <w:tcW w:w="0" w:type="auto"/>
            <w:noWrap/>
            <w:hideMark/>
          </w:tcPr>
          <w:p w:rsidRPr="00B83C3C" w:rsidR="005B711D" w:rsidP="00CE4CF1" w:rsidRDefault="005B711D" w14:paraId="14E47ED2" w14:textId="7D7C1A90">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8"/>
                <w:szCs w:val="18"/>
              </w:rPr>
            </w:pPr>
            <w:r w:rsidRPr="00B83C3C">
              <w:rPr>
                <w:rFonts w:asciiTheme="minorHAnsi" w:hAnsiTheme="minorHAnsi" w:cstheme="minorHAnsi"/>
                <w:b/>
                <w:color w:val="000000" w:themeColor="text1"/>
                <w:sz w:val="18"/>
                <w:szCs w:val="18"/>
              </w:rPr>
              <w:t xml:space="preserve">St Mary’s rank </w:t>
            </w:r>
          </w:p>
        </w:tc>
        <w:tc>
          <w:tcPr>
            <w:tcW w:w="0" w:type="auto"/>
            <w:noWrap/>
            <w:hideMark/>
          </w:tcPr>
          <w:p w:rsidRPr="0031775D" w:rsidR="005B711D" w:rsidP="00CE4CF1" w:rsidRDefault="005B711D" w14:paraId="1CE1F91C"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31775D">
              <w:rPr>
                <w:rFonts w:eastAsia="Times New Roman" w:asciiTheme="minorHAnsi" w:hAnsiTheme="minorHAnsi" w:cstheme="minorHAnsi"/>
                <w:sz w:val="18"/>
                <w:szCs w:val="18"/>
              </w:rPr>
              <w:t>79th</w:t>
            </w:r>
          </w:p>
        </w:tc>
        <w:tc>
          <w:tcPr>
            <w:tcW w:w="0" w:type="auto"/>
            <w:noWrap/>
            <w:hideMark/>
          </w:tcPr>
          <w:p w:rsidRPr="0031775D" w:rsidR="005B711D" w:rsidP="00CE4CF1" w:rsidRDefault="005B711D" w14:paraId="241E7134"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31775D">
              <w:rPr>
                <w:rFonts w:eastAsia="Times New Roman" w:asciiTheme="minorHAnsi" w:hAnsiTheme="minorHAnsi" w:cstheme="minorHAnsi"/>
                <w:sz w:val="18"/>
                <w:szCs w:val="18"/>
              </w:rPr>
              <w:t>65th</w:t>
            </w:r>
          </w:p>
        </w:tc>
        <w:tc>
          <w:tcPr>
            <w:tcW w:w="0" w:type="auto"/>
            <w:noWrap/>
            <w:hideMark/>
          </w:tcPr>
          <w:p w:rsidRPr="0031775D" w:rsidR="005B711D" w:rsidP="00CE4CF1" w:rsidRDefault="005B711D" w14:paraId="3EE99D0D"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31775D">
              <w:rPr>
                <w:rFonts w:eastAsia="Times New Roman" w:asciiTheme="minorHAnsi" w:hAnsiTheme="minorHAnsi" w:cstheme="minorHAnsi"/>
                <w:sz w:val="18"/>
                <w:szCs w:val="18"/>
              </w:rPr>
              <w:t>81st</w:t>
            </w:r>
          </w:p>
        </w:tc>
        <w:tc>
          <w:tcPr>
            <w:tcW w:w="0" w:type="auto"/>
            <w:noWrap/>
            <w:hideMark/>
          </w:tcPr>
          <w:p w:rsidRPr="0031775D" w:rsidR="005B711D" w:rsidP="00CE4CF1" w:rsidRDefault="005B711D" w14:paraId="233AC84D"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31775D">
              <w:rPr>
                <w:rFonts w:eastAsia="Times New Roman" w:asciiTheme="minorHAnsi" w:hAnsiTheme="minorHAnsi" w:cstheme="minorHAnsi"/>
                <w:sz w:val="18"/>
                <w:szCs w:val="18"/>
              </w:rPr>
              <w:t>62nd</w:t>
            </w:r>
          </w:p>
        </w:tc>
        <w:tc>
          <w:tcPr>
            <w:tcW w:w="0" w:type="auto"/>
            <w:noWrap/>
            <w:hideMark/>
          </w:tcPr>
          <w:p w:rsidRPr="0031775D" w:rsidR="005B711D" w:rsidP="00CE4CF1" w:rsidRDefault="005B711D" w14:paraId="2122FDE1"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r w:rsidRPr="0031775D">
              <w:rPr>
                <w:rFonts w:eastAsia="Times New Roman" w:asciiTheme="minorHAnsi" w:hAnsiTheme="minorHAnsi" w:cstheme="minorHAnsi"/>
                <w:sz w:val="18"/>
                <w:szCs w:val="18"/>
              </w:rPr>
              <w:t>74th</w:t>
            </w:r>
          </w:p>
        </w:tc>
        <w:tc>
          <w:tcPr>
            <w:tcW w:w="0" w:type="auto"/>
          </w:tcPr>
          <w:p w:rsidRPr="0031775D" w:rsidR="005B711D" w:rsidP="00CE4CF1" w:rsidRDefault="005B711D" w14:paraId="675674EE" w14:textId="691FA162">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r>
      <w:tr w:rsidR="005D0A2D" w:rsidTr="005D0A2D" w14:paraId="02C638E3" w14:textId="7777777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tcPr>
          <w:p w:rsidRPr="005D0A2D" w:rsidR="005D0A2D" w:rsidP="00CE4CF1" w:rsidRDefault="005D0A2D" w14:paraId="5FBF66AE" w14:textId="77777777">
            <w:pPr>
              <w:rPr>
                <w:rFonts w:asciiTheme="minorHAnsi" w:hAnsiTheme="minorHAnsi" w:cstheme="minorHAnsi"/>
                <w:bCs w:val="0"/>
                <w:sz w:val="18"/>
                <w:szCs w:val="18"/>
              </w:rPr>
            </w:pPr>
          </w:p>
        </w:tc>
        <w:tc>
          <w:tcPr>
            <w:tcW w:w="0" w:type="auto"/>
            <w:noWrap/>
          </w:tcPr>
          <w:p w:rsidRPr="00B83C3C" w:rsidR="005D0A2D" w:rsidP="00CE4CF1" w:rsidRDefault="005D0A2D" w14:paraId="4CD304CA"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8"/>
                <w:szCs w:val="18"/>
                <w:lang w:eastAsia="en-US"/>
              </w:rPr>
            </w:pPr>
          </w:p>
        </w:tc>
        <w:tc>
          <w:tcPr>
            <w:tcW w:w="0" w:type="auto"/>
            <w:noWrap/>
          </w:tcPr>
          <w:p w:rsidRPr="0031775D" w:rsidR="005D0A2D" w:rsidP="00CE4CF1" w:rsidRDefault="005D0A2D" w14:paraId="566BA295"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0" w:type="auto"/>
            <w:noWrap/>
          </w:tcPr>
          <w:p w:rsidRPr="0031775D" w:rsidR="005D0A2D" w:rsidP="00CE4CF1" w:rsidRDefault="005D0A2D" w14:paraId="7A4908DD"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0" w:type="auto"/>
            <w:noWrap/>
          </w:tcPr>
          <w:p w:rsidRPr="0031775D" w:rsidR="005D0A2D" w:rsidP="00CE4CF1" w:rsidRDefault="005D0A2D" w14:paraId="5EE60536"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0" w:type="auto"/>
            <w:noWrap/>
          </w:tcPr>
          <w:p w:rsidRPr="0031775D" w:rsidR="005D0A2D" w:rsidP="00CE4CF1" w:rsidRDefault="005D0A2D" w14:paraId="3962DD6E"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0" w:type="auto"/>
            <w:noWrap/>
          </w:tcPr>
          <w:p w:rsidRPr="0031775D" w:rsidR="005D0A2D" w:rsidP="00CE4CF1" w:rsidRDefault="005D0A2D" w14:paraId="20D5A59F" w14:textId="7777777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c>
          <w:tcPr>
            <w:tcW w:w="0" w:type="auto"/>
          </w:tcPr>
          <w:p w:rsidR="005D0A2D" w:rsidP="00CE4CF1" w:rsidRDefault="005D0A2D" w14:paraId="3F3F8460"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18"/>
                <w:szCs w:val="18"/>
              </w:rPr>
            </w:pPr>
          </w:p>
        </w:tc>
      </w:tr>
      <w:tr w:rsidR="005D0A2D" w:rsidTr="005D0A2D" w14:paraId="46454EA5" w14:textId="4627971F">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tcPr>
          <w:p w:rsidRPr="005D0A2D" w:rsidR="005B711D" w:rsidP="00CE4CF1" w:rsidRDefault="005B711D" w14:paraId="103E3533" w14:textId="47CF0B43">
            <w:pPr>
              <w:rPr>
                <w:rFonts w:asciiTheme="minorHAnsi" w:hAnsiTheme="minorHAnsi" w:cstheme="minorHAnsi"/>
                <w:bCs w:val="0"/>
                <w:sz w:val="18"/>
                <w:szCs w:val="18"/>
              </w:rPr>
            </w:pPr>
            <w:r w:rsidRPr="005D0A2D">
              <w:rPr>
                <w:rFonts w:asciiTheme="minorHAnsi" w:hAnsiTheme="minorHAnsi" w:cstheme="minorHAnsi"/>
                <w:bCs w:val="0"/>
                <w:sz w:val="18"/>
                <w:szCs w:val="18"/>
              </w:rPr>
              <w:t>First class</w:t>
            </w:r>
          </w:p>
        </w:tc>
        <w:tc>
          <w:tcPr>
            <w:tcW w:w="0" w:type="auto"/>
            <w:noWrap/>
            <w:hideMark/>
          </w:tcPr>
          <w:p w:rsidRPr="00B83C3C" w:rsidR="005B711D" w:rsidP="00CE4CF1" w:rsidRDefault="005B711D" w14:paraId="62E965FE" w14:textId="25784A49">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18"/>
                <w:szCs w:val="18"/>
                <w:lang w:eastAsia="en-US"/>
              </w:rPr>
            </w:pPr>
            <w:r w:rsidRPr="00B83C3C">
              <w:rPr>
                <w:rFonts w:asciiTheme="minorHAnsi" w:hAnsiTheme="minorHAnsi" w:cstheme="minorHAnsi"/>
                <w:b/>
                <w:color w:val="000000" w:themeColor="text1"/>
                <w:sz w:val="18"/>
                <w:szCs w:val="18"/>
                <w:lang w:eastAsia="en-US"/>
              </w:rPr>
              <w:t>St Mary’s</w:t>
            </w:r>
          </w:p>
        </w:tc>
        <w:tc>
          <w:tcPr>
            <w:tcW w:w="0" w:type="auto"/>
            <w:noWrap/>
            <w:hideMark/>
          </w:tcPr>
          <w:p w:rsidRPr="0031775D" w:rsidR="005B711D" w:rsidP="00CE4CF1" w:rsidRDefault="005B711D" w14:paraId="2EFAAB4C"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21.9%</w:t>
            </w:r>
          </w:p>
        </w:tc>
        <w:tc>
          <w:tcPr>
            <w:tcW w:w="0" w:type="auto"/>
            <w:noWrap/>
            <w:hideMark/>
          </w:tcPr>
          <w:p w:rsidRPr="0031775D" w:rsidR="005B711D" w:rsidP="00CE4CF1" w:rsidRDefault="005B711D" w14:paraId="618A5D45"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22.3%</w:t>
            </w:r>
          </w:p>
        </w:tc>
        <w:tc>
          <w:tcPr>
            <w:tcW w:w="0" w:type="auto"/>
            <w:noWrap/>
            <w:hideMark/>
          </w:tcPr>
          <w:p w:rsidRPr="0031775D" w:rsidR="005B711D" w:rsidP="00CE4CF1" w:rsidRDefault="005B711D" w14:paraId="1429180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26.8%</w:t>
            </w:r>
          </w:p>
        </w:tc>
        <w:tc>
          <w:tcPr>
            <w:tcW w:w="0" w:type="auto"/>
            <w:noWrap/>
            <w:hideMark/>
          </w:tcPr>
          <w:p w:rsidRPr="0031775D" w:rsidR="005B711D" w:rsidP="00CE4CF1" w:rsidRDefault="005B711D" w14:paraId="078B96F8" w14:textId="7777777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41.8%</w:t>
            </w:r>
          </w:p>
        </w:tc>
        <w:tc>
          <w:tcPr>
            <w:tcW w:w="0" w:type="auto"/>
            <w:noWrap/>
            <w:hideMark/>
          </w:tcPr>
          <w:p w:rsidRPr="0031775D" w:rsidR="005B711D" w:rsidP="00CE4CF1" w:rsidRDefault="005B711D" w14:paraId="112B5414" w14:textId="718F3F5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36.</w:t>
            </w:r>
            <w:r w:rsidR="00D31CAC">
              <w:rPr>
                <w:rFonts w:asciiTheme="minorHAnsi" w:hAnsiTheme="minorHAnsi" w:cstheme="minorHAnsi"/>
                <w:sz w:val="18"/>
                <w:szCs w:val="18"/>
              </w:rPr>
              <w:t>4</w:t>
            </w:r>
            <w:r w:rsidRPr="0031775D">
              <w:rPr>
                <w:rFonts w:asciiTheme="minorHAnsi" w:hAnsiTheme="minorHAnsi" w:cstheme="minorHAnsi"/>
                <w:sz w:val="18"/>
                <w:szCs w:val="18"/>
              </w:rPr>
              <w:t>%</w:t>
            </w:r>
          </w:p>
        </w:tc>
        <w:tc>
          <w:tcPr>
            <w:tcW w:w="0" w:type="auto"/>
          </w:tcPr>
          <w:p w:rsidRPr="0031775D" w:rsidR="005B711D" w:rsidP="00CE4CF1" w:rsidRDefault="005B711D" w14:paraId="77DD621D" w14:textId="7D7F1E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eastAsia="Times New Roman" w:asciiTheme="minorHAnsi" w:hAnsiTheme="minorHAnsi" w:cstheme="minorHAnsi"/>
                <w:sz w:val="18"/>
                <w:szCs w:val="18"/>
              </w:rPr>
              <w:t>36.6%</w:t>
            </w:r>
          </w:p>
        </w:tc>
      </w:tr>
      <w:tr w:rsidR="005D0A2D" w:rsidTr="005D0A2D" w14:paraId="4EA561E1" w14:textId="77777777">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tcPr>
          <w:p w:rsidRPr="005D0A2D" w:rsidR="005B711D" w:rsidP="00CE4CF1" w:rsidRDefault="005B711D" w14:paraId="2E6E3910" w14:textId="77777777">
            <w:pPr>
              <w:rPr>
                <w:rFonts w:asciiTheme="minorHAnsi" w:hAnsiTheme="minorHAnsi" w:cstheme="minorHAnsi"/>
                <w:bCs w:val="0"/>
                <w:sz w:val="18"/>
                <w:szCs w:val="18"/>
              </w:rPr>
            </w:pPr>
          </w:p>
        </w:tc>
        <w:tc>
          <w:tcPr>
            <w:tcW w:w="0" w:type="auto"/>
            <w:shd w:val="clear" w:color="auto" w:fill="DEEAF6" w:themeFill="accent5" w:themeFillTint="33"/>
            <w:noWrap/>
          </w:tcPr>
          <w:p w:rsidRPr="00B83C3C" w:rsidR="005B711D" w:rsidP="00CE4CF1" w:rsidRDefault="0049658E" w14:paraId="198513FF" w14:textId="07F7D8D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000000" w:themeColor="text1"/>
                <w:sz w:val="18"/>
                <w:szCs w:val="18"/>
              </w:rPr>
            </w:pPr>
            <w:r w:rsidRPr="00B83C3C">
              <w:rPr>
                <w:rFonts w:asciiTheme="minorHAnsi" w:hAnsiTheme="minorHAnsi" w:cstheme="minorHAnsi"/>
                <w:b/>
                <w:color w:val="000000" w:themeColor="text1"/>
                <w:sz w:val="18"/>
                <w:szCs w:val="18"/>
              </w:rPr>
              <w:t>London</w:t>
            </w:r>
          </w:p>
        </w:tc>
        <w:tc>
          <w:tcPr>
            <w:tcW w:w="0" w:type="auto"/>
            <w:shd w:val="clear" w:color="auto" w:fill="DEEAF6" w:themeFill="accent5" w:themeFillTint="33"/>
            <w:noWrap/>
          </w:tcPr>
          <w:p w:rsidRPr="0031775D" w:rsidR="005B711D" w:rsidP="00CE4CF1" w:rsidRDefault="005B711D" w14:paraId="215CCFEA" w14:textId="767C946D">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26.1</w:t>
            </w:r>
          </w:p>
        </w:tc>
        <w:tc>
          <w:tcPr>
            <w:tcW w:w="0" w:type="auto"/>
            <w:shd w:val="clear" w:color="auto" w:fill="DEEAF6" w:themeFill="accent5" w:themeFillTint="33"/>
            <w:noWrap/>
          </w:tcPr>
          <w:p w:rsidRPr="0031775D" w:rsidR="005B711D" w:rsidP="00CE4CF1" w:rsidRDefault="005B711D" w14:paraId="00A11948" w14:textId="15D93973">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28.4</w:t>
            </w:r>
          </w:p>
        </w:tc>
        <w:tc>
          <w:tcPr>
            <w:tcW w:w="0" w:type="auto"/>
            <w:shd w:val="clear" w:color="auto" w:fill="DEEAF6" w:themeFill="accent5" w:themeFillTint="33"/>
            <w:noWrap/>
          </w:tcPr>
          <w:p w:rsidRPr="0031775D" w:rsidR="005B711D" w:rsidP="00CE4CF1" w:rsidRDefault="005B711D" w14:paraId="3F538765" w14:textId="753DEA40">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28.9</w:t>
            </w:r>
          </w:p>
        </w:tc>
        <w:tc>
          <w:tcPr>
            <w:tcW w:w="0" w:type="auto"/>
            <w:shd w:val="clear" w:color="auto" w:fill="DEEAF6" w:themeFill="accent5" w:themeFillTint="33"/>
            <w:noWrap/>
          </w:tcPr>
          <w:p w:rsidRPr="0031775D" w:rsidR="005B711D" w:rsidP="00CE4CF1" w:rsidRDefault="005B711D" w14:paraId="027DF5ED" w14:textId="448E1775">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36.8</w:t>
            </w:r>
          </w:p>
        </w:tc>
        <w:tc>
          <w:tcPr>
            <w:tcW w:w="0" w:type="auto"/>
            <w:shd w:val="clear" w:color="auto" w:fill="DEEAF6" w:themeFill="accent5" w:themeFillTint="33"/>
            <w:noWrap/>
          </w:tcPr>
          <w:p w:rsidRPr="0031775D" w:rsidR="005B711D" w:rsidP="00CE4CF1" w:rsidRDefault="005B711D" w14:paraId="355047EF" w14:textId="0CEEE9EF">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37.9</w:t>
            </w:r>
          </w:p>
        </w:tc>
        <w:tc>
          <w:tcPr>
            <w:tcW w:w="0" w:type="auto"/>
            <w:shd w:val="clear" w:color="auto" w:fill="DEEAF6" w:themeFill="accent5" w:themeFillTint="33"/>
          </w:tcPr>
          <w:p w:rsidR="005B711D" w:rsidP="00CE4CF1" w:rsidRDefault="005B711D" w14:paraId="63E47690" w14:textId="77777777">
            <w:pPr>
              <w:cnfStyle w:val="000000100000" w:firstRow="0" w:lastRow="0" w:firstColumn="0" w:lastColumn="0" w:oddVBand="0" w:evenVBand="0" w:oddHBand="1" w:evenHBand="0" w:firstRowFirstColumn="0" w:firstRowLastColumn="0" w:lastRowFirstColumn="0" w:lastRowLastColumn="0"/>
              <w:rPr>
                <w:rFonts w:eastAsia="Times New Roman" w:asciiTheme="minorHAnsi" w:hAnsiTheme="minorHAnsi" w:cstheme="minorHAnsi"/>
                <w:sz w:val="18"/>
                <w:szCs w:val="18"/>
              </w:rPr>
            </w:pPr>
          </w:p>
        </w:tc>
      </w:tr>
      <w:tr w:rsidR="005D0A2D" w:rsidTr="005D0A2D" w14:paraId="4C086904" w14:textId="77777777">
        <w:trPr>
          <w:trHeight w:val="290"/>
          <w:jc w:val="center"/>
        </w:trPr>
        <w:tc>
          <w:tcPr>
            <w:cnfStyle w:val="001000000000" w:firstRow="0" w:lastRow="0" w:firstColumn="1" w:lastColumn="0" w:oddVBand="0" w:evenVBand="0" w:oddHBand="0" w:evenHBand="0" w:firstRowFirstColumn="0" w:firstRowLastColumn="0" w:lastRowFirstColumn="0" w:lastRowLastColumn="0"/>
            <w:tcW w:w="0" w:type="auto"/>
          </w:tcPr>
          <w:p w:rsidR="005B711D" w:rsidP="00CE4CF1" w:rsidRDefault="005B711D" w14:paraId="0E89DDC4" w14:textId="77777777">
            <w:pPr>
              <w:rPr>
                <w:rFonts w:asciiTheme="minorHAnsi" w:hAnsiTheme="minorHAnsi" w:cstheme="minorHAnsi"/>
                <w:b w:val="0"/>
                <w:sz w:val="18"/>
                <w:szCs w:val="18"/>
              </w:rPr>
            </w:pPr>
          </w:p>
        </w:tc>
        <w:tc>
          <w:tcPr>
            <w:tcW w:w="0" w:type="auto"/>
            <w:noWrap/>
          </w:tcPr>
          <w:p w:rsidRPr="004F1A90" w:rsidR="005B711D" w:rsidP="00CE4CF1" w:rsidRDefault="005B711D" w14:paraId="280BE253" w14:textId="4DCC2B4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Sector</w:t>
            </w:r>
          </w:p>
        </w:tc>
        <w:tc>
          <w:tcPr>
            <w:tcW w:w="0" w:type="auto"/>
            <w:noWrap/>
          </w:tcPr>
          <w:p w:rsidRPr="0031775D" w:rsidR="005B711D" w:rsidP="00CE4CF1" w:rsidRDefault="005B711D" w14:paraId="6AF64D96" w14:textId="5E9876E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25.5</w:t>
            </w:r>
          </w:p>
        </w:tc>
        <w:tc>
          <w:tcPr>
            <w:tcW w:w="0" w:type="auto"/>
            <w:noWrap/>
          </w:tcPr>
          <w:p w:rsidRPr="0031775D" w:rsidR="005B711D" w:rsidP="00CE4CF1" w:rsidRDefault="005B711D" w14:paraId="060B5F9E" w14:textId="25F6C50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27.6</w:t>
            </w:r>
          </w:p>
        </w:tc>
        <w:tc>
          <w:tcPr>
            <w:tcW w:w="0" w:type="auto"/>
            <w:noWrap/>
          </w:tcPr>
          <w:p w:rsidRPr="0031775D" w:rsidR="005B711D" w:rsidP="00CE4CF1" w:rsidRDefault="005B711D" w14:paraId="7D5FE811" w14:textId="586651A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27.9</w:t>
            </w:r>
          </w:p>
        </w:tc>
        <w:tc>
          <w:tcPr>
            <w:tcW w:w="0" w:type="auto"/>
            <w:noWrap/>
          </w:tcPr>
          <w:p w:rsidRPr="0031775D" w:rsidR="005B711D" w:rsidP="00CE4CF1" w:rsidRDefault="005B711D" w14:paraId="6356D2CE" w14:textId="6831D86B">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34.3</w:t>
            </w:r>
          </w:p>
        </w:tc>
        <w:tc>
          <w:tcPr>
            <w:tcW w:w="0" w:type="auto"/>
            <w:noWrap/>
          </w:tcPr>
          <w:p w:rsidRPr="0031775D" w:rsidR="005B711D" w:rsidP="00CE4CF1" w:rsidRDefault="005B711D" w14:paraId="14E201C7" w14:textId="4502EAC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36.1</w:t>
            </w:r>
          </w:p>
        </w:tc>
        <w:tc>
          <w:tcPr>
            <w:tcW w:w="0" w:type="auto"/>
          </w:tcPr>
          <w:p w:rsidR="005B711D" w:rsidP="00CE4CF1" w:rsidRDefault="005B711D" w14:paraId="3D6AFA12" w14:textId="77777777">
            <w:pPr>
              <w:cnfStyle w:val="000000000000" w:firstRow="0" w:lastRow="0" w:firstColumn="0" w:lastColumn="0" w:oddVBand="0" w:evenVBand="0" w:oddHBand="0" w:evenHBand="0" w:firstRowFirstColumn="0" w:firstRowLastColumn="0" w:lastRowFirstColumn="0" w:lastRowLastColumn="0"/>
              <w:rPr>
                <w:rFonts w:eastAsia="Times New Roman" w:asciiTheme="minorHAnsi" w:hAnsiTheme="minorHAnsi" w:cstheme="minorHAnsi"/>
                <w:sz w:val="18"/>
                <w:szCs w:val="18"/>
              </w:rPr>
            </w:pPr>
          </w:p>
        </w:tc>
      </w:tr>
      <w:tr w:rsidR="005D0A2D" w:rsidTr="005D0A2D" w14:paraId="2B979B3F" w14:textId="0309FB4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0" w:type="auto"/>
          </w:tcPr>
          <w:p w:rsidRPr="004F1A90" w:rsidR="005B711D" w:rsidP="00CE4CF1" w:rsidRDefault="005B711D" w14:paraId="4E7D08A2" w14:textId="77777777">
            <w:pPr>
              <w:spacing w:line="276" w:lineRule="auto"/>
              <w:rPr>
                <w:rFonts w:asciiTheme="minorHAnsi" w:hAnsiTheme="minorHAnsi" w:cstheme="minorHAnsi"/>
                <w:b w:val="0"/>
                <w:sz w:val="18"/>
                <w:szCs w:val="18"/>
              </w:rPr>
            </w:pPr>
          </w:p>
        </w:tc>
        <w:tc>
          <w:tcPr>
            <w:tcW w:w="0" w:type="auto"/>
            <w:shd w:val="clear" w:color="auto" w:fill="DEEAF6" w:themeFill="accent5" w:themeFillTint="33"/>
            <w:noWrap/>
            <w:hideMark/>
          </w:tcPr>
          <w:p w:rsidRPr="004F1A90" w:rsidR="005B711D" w:rsidP="00CE4CF1" w:rsidRDefault="005B711D" w14:paraId="6BE6DF70" w14:textId="1B20E87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18"/>
                <w:szCs w:val="18"/>
              </w:rPr>
            </w:pPr>
            <w:r>
              <w:rPr>
                <w:rFonts w:asciiTheme="minorHAnsi" w:hAnsiTheme="minorHAnsi" w:cstheme="minorHAnsi"/>
                <w:b/>
                <w:sz w:val="18"/>
                <w:szCs w:val="18"/>
              </w:rPr>
              <w:t>St</w:t>
            </w:r>
            <w:r w:rsidR="00940121">
              <w:rPr>
                <w:rFonts w:asciiTheme="minorHAnsi" w:hAnsiTheme="minorHAnsi" w:cstheme="minorHAnsi"/>
                <w:b/>
                <w:sz w:val="18"/>
                <w:szCs w:val="18"/>
              </w:rPr>
              <w:t xml:space="preserve"> </w:t>
            </w:r>
            <w:r>
              <w:rPr>
                <w:rFonts w:asciiTheme="minorHAnsi" w:hAnsiTheme="minorHAnsi" w:cstheme="minorHAnsi"/>
                <w:b/>
                <w:sz w:val="18"/>
                <w:szCs w:val="18"/>
              </w:rPr>
              <w:t xml:space="preserve">Mary’s </w:t>
            </w:r>
            <w:r w:rsidRPr="004F1A90">
              <w:rPr>
                <w:rFonts w:asciiTheme="minorHAnsi" w:hAnsiTheme="minorHAnsi" w:cstheme="minorHAnsi"/>
                <w:b/>
                <w:sz w:val="18"/>
                <w:szCs w:val="18"/>
              </w:rPr>
              <w:t>rank</w:t>
            </w:r>
          </w:p>
        </w:tc>
        <w:tc>
          <w:tcPr>
            <w:tcW w:w="0" w:type="auto"/>
            <w:shd w:val="clear" w:color="auto" w:fill="DEEAF6" w:themeFill="accent5" w:themeFillTint="33"/>
            <w:noWrap/>
            <w:hideMark/>
          </w:tcPr>
          <w:p w:rsidRPr="0031775D" w:rsidR="005B711D" w:rsidP="00CE4CF1" w:rsidRDefault="005B711D" w14:paraId="1316C12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99th</w:t>
            </w:r>
          </w:p>
        </w:tc>
        <w:tc>
          <w:tcPr>
            <w:tcW w:w="0" w:type="auto"/>
            <w:shd w:val="clear" w:color="auto" w:fill="DEEAF6" w:themeFill="accent5" w:themeFillTint="33"/>
            <w:noWrap/>
            <w:hideMark/>
          </w:tcPr>
          <w:p w:rsidRPr="0031775D" w:rsidR="005B711D" w:rsidP="00CE4CF1" w:rsidRDefault="005B711D" w14:paraId="6AFDADF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107th</w:t>
            </w:r>
          </w:p>
        </w:tc>
        <w:tc>
          <w:tcPr>
            <w:tcW w:w="0" w:type="auto"/>
            <w:shd w:val="clear" w:color="auto" w:fill="DEEAF6" w:themeFill="accent5" w:themeFillTint="33"/>
            <w:noWrap/>
            <w:hideMark/>
          </w:tcPr>
          <w:p w:rsidRPr="0031775D" w:rsidR="005B711D" w:rsidP="00CE4CF1" w:rsidRDefault="005B711D" w14:paraId="2108D08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81st</w:t>
            </w:r>
          </w:p>
        </w:tc>
        <w:tc>
          <w:tcPr>
            <w:tcW w:w="0" w:type="auto"/>
            <w:shd w:val="clear" w:color="auto" w:fill="DEEAF6" w:themeFill="accent5" w:themeFillTint="33"/>
            <w:noWrap/>
            <w:hideMark/>
          </w:tcPr>
          <w:p w:rsidRPr="0031775D" w:rsidR="005B711D" w:rsidP="00CE4CF1" w:rsidRDefault="005B711D" w14:paraId="6A348A3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29th</w:t>
            </w:r>
          </w:p>
        </w:tc>
        <w:tc>
          <w:tcPr>
            <w:tcW w:w="0" w:type="auto"/>
            <w:shd w:val="clear" w:color="auto" w:fill="DEEAF6" w:themeFill="accent5" w:themeFillTint="33"/>
            <w:noWrap/>
            <w:hideMark/>
          </w:tcPr>
          <w:p w:rsidRPr="0031775D" w:rsidR="005B711D" w:rsidP="00CE4CF1" w:rsidRDefault="005B711D" w14:paraId="7CA6F1C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31775D">
              <w:rPr>
                <w:rFonts w:asciiTheme="minorHAnsi" w:hAnsiTheme="minorHAnsi" w:cstheme="minorHAnsi"/>
                <w:sz w:val="18"/>
                <w:szCs w:val="18"/>
              </w:rPr>
              <w:t>76</w:t>
            </w:r>
            <w:r w:rsidRPr="005B711D">
              <w:rPr>
                <w:rFonts w:asciiTheme="minorHAnsi" w:hAnsiTheme="minorHAnsi" w:cstheme="minorHAnsi"/>
                <w:sz w:val="18"/>
                <w:szCs w:val="18"/>
                <w:vertAlign w:val="superscript"/>
              </w:rPr>
              <w:t>th</w:t>
            </w:r>
          </w:p>
        </w:tc>
        <w:tc>
          <w:tcPr>
            <w:tcW w:w="0" w:type="auto"/>
            <w:shd w:val="clear" w:color="auto" w:fill="DEEAF6" w:themeFill="accent5" w:themeFillTint="33"/>
          </w:tcPr>
          <w:p w:rsidRPr="0031775D" w:rsidR="005B711D" w:rsidP="00CE4CF1" w:rsidRDefault="005B711D" w14:paraId="30F9BFA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p>
        </w:tc>
      </w:tr>
    </w:tbl>
    <w:p w:rsidRPr="00DD021B" w:rsidR="00B0747B" w:rsidP="00940121" w:rsidRDefault="00C93B82" w14:paraId="7F8B3821" w14:textId="0EE2733E">
      <w:pPr>
        <w:pStyle w:val="NormalWeb"/>
        <w:spacing w:before="0" w:beforeAutospacing="0" w:after="0" w:afterAutospacing="0"/>
        <w:jc w:val="center"/>
        <w:rPr>
          <w:rFonts w:asciiTheme="minorHAnsi" w:hAnsiTheme="minorHAnsi" w:cstheme="minorHAnsi"/>
          <w:bCs/>
          <w:i/>
          <w:iCs/>
          <w:color w:val="000000" w:themeColor="text1"/>
          <w:sz w:val="20"/>
          <w:szCs w:val="20"/>
          <w:shd w:val="clear" w:color="auto" w:fill="FFFFFF"/>
        </w:rPr>
      </w:pPr>
      <w:r w:rsidRPr="00940121">
        <w:rPr>
          <w:rFonts w:asciiTheme="minorHAnsi" w:hAnsiTheme="minorHAnsi" w:cstheme="minorHAnsi"/>
          <w:b/>
          <w:bCs/>
          <w:i/>
          <w:iCs/>
          <w:color w:val="000000" w:themeColor="text1"/>
          <w:sz w:val="20"/>
          <w:szCs w:val="20"/>
          <w:shd w:val="clear" w:color="auto" w:fill="FFFFFF"/>
        </w:rPr>
        <w:t>Table</w:t>
      </w:r>
      <w:r w:rsidRPr="00940121" w:rsidR="00BE0B92">
        <w:rPr>
          <w:rFonts w:asciiTheme="minorHAnsi" w:hAnsiTheme="minorHAnsi" w:cstheme="minorHAnsi"/>
          <w:b/>
          <w:bCs/>
          <w:i/>
          <w:iCs/>
          <w:color w:val="000000" w:themeColor="text1"/>
          <w:sz w:val="20"/>
          <w:szCs w:val="20"/>
          <w:shd w:val="clear" w:color="auto" w:fill="FFFFFF"/>
        </w:rPr>
        <w:t xml:space="preserve"> </w:t>
      </w:r>
      <w:r w:rsidRPr="00940121" w:rsidR="001F1F81">
        <w:rPr>
          <w:rFonts w:asciiTheme="minorHAnsi" w:hAnsiTheme="minorHAnsi" w:cstheme="minorHAnsi"/>
          <w:b/>
          <w:bCs/>
          <w:i/>
          <w:iCs/>
          <w:color w:val="000000" w:themeColor="text1"/>
          <w:sz w:val="20"/>
          <w:szCs w:val="20"/>
          <w:shd w:val="clear" w:color="auto" w:fill="FFFFFF"/>
        </w:rPr>
        <w:t>1</w:t>
      </w:r>
      <w:r w:rsidRPr="00940121" w:rsidR="00940121">
        <w:rPr>
          <w:rFonts w:asciiTheme="minorHAnsi" w:hAnsiTheme="minorHAnsi" w:cstheme="minorHAnsi"/>
          <w:b/>
          <w:bCs/>
          <w:i/>
          <w:iCs/>
          <w:color w:val="000000" w:themeColor="text1"/>
          <w:sz w:val="20"/>
          <w:szCs w:val="20"/>
          <w:shd w:val="clear" w:color="auto" w:fill="FFFFFF"/>
        </w:rPr>
        <w:t>:</w:t>
      </w:r>
      <w:r w:rsidRPr="00DD021B" w:rsidR="001F1F81">
        <w:rPr>
          <w:rFonts w:asciiTheme="minorHAnsi" w:hAnsiTheme="minorHAnsi" w:cstheme="minorHAnsi"/>
          <w:bCs/>
          <w:i/>
          <w:iCs/>
          <w:color w:val="000000" w:themeColor="text1"/>
          <w:sz w:val="20"/>
          <w:szCs w:val="20"/>
          <w:shd w:val="clear" w:color="auto" w:fill="FFFFFF"/>
        </w:rPr>
        <w:t xml:space="preserve"> </w:t>
      </w:r>
      <w:r w:rsidRPr="00DD021B" w:rsidR="00DD021B">
        <w:rPr>
          <w:rFonts w:asciiTheme="minorHAnsi" w:hAnsiTheme="minorHAnsi" w:cstheme="minorHAnsi"/>
          <w:bCs/>
          <w:i/>
          <w:iCs/>
          <w:color w:val="000000" w:themeColor="text1"/>
          <w:sz w:val="20"/>
          <w:szCs w:val="20"/>
          <w:shd w:val="clear" w:color="auto" w:fill="FFFFFF"/>
        </w:rPr>
        <w:t xml:space="preserve">Percentage of students awarded </w:t>
      </w:r>
      <w:r w:rsidRPr="00DD021B" w:rsidR="004F1A90">
        <w:rPr>
          <w:rFonts w:asciiTheme="minorHAnsi" w:hAnsiTheme="minorHAnsi" w:cstheme="minorHAnsi"/>
          <w:bCs/>
          <w:i/>
          <w:iCs/>
          <w:color w:val="000000" w:themeColor="text1"/>
          <w:sz w:val="20"/>
          <w:szCs w:val="20"/>
          <w:shd w:val="clear" w:color="auto" w:fill="FFFFFF"/>
        </w:rPr>
        <w:t>fi</w:t>
      </w:r>
      <w:r w:rsidRPr="00DD021B" w:rsidR="00DD021B">
        <w:rPr>
          <w:rFonts w:asciiTheme="minorHAnsi" w:hAnsiTheme="minorHAnsi" w:cstheme="minorHAnsi"/>
          <w:bCs/>
          <w:i/>
          <w:iCs/>
          <w:color w:val="000000" w:themeColor="text1"/>
          <w:sz w:val="20"/>
          <w:szCs w:val="20"/>
          <w:shd w:val="clear" w:color="auto" w:fill="FFFFFF"/>
        </w:rPr>
        <w:t>r</w:t>
      </w:r>
      <w:r w:rsidRPr="00DD021B" w:rsidR="004F1A90">
        <w:rPr>
          <w:rFonts w:asciiTheme="minorHAnsi" w:hAnsiTheme="minorHAnsi" w:cstheme="minorHAnsi"/>
          <w:bCs/>
          <w:i/>
          <w:iCs/>
          <w:color w:val="000000" w:themeColor="text1"/>
          <w:sz w:val="20"/>
          <w:szCs w:val="20"/>
          <w:shd w:val="clear" w:color="auto" w:fill="FFFFFF"/>
        </w:rPr>
        <w:t>st class and good honours</w:t>
      </w:r>
      <w:r w:rsidRPr="00DD021B" w:rsidR="00DD021B">
        <w:rPr>
          <w:rFonts w:asciiTheme="minorHAnsi" w:hAnsiTheme="minorHAnsi" w:cstheme="minorHAnsi"/>
          <w:bCs/>
          <w:i/>
          <w:iCs/>
          <w:color w:val="000000" w:themeColor="text1"/>
          <w:sz w:val="20"/>
          <w:szCs w:val="20"/>
          <w:shd w:val="clear" w:color="auto" w:fill="FFFFFF"/>
        </w:rPr>
        <w:t xml:space="preserve"> </w:t>
      </w:r>
      <w:r w:rsidR="00F557A8">
        <w:rPr>
          <w:rFonts w:asciiTheme="minorHAnsi" w:hAnsiTheme="minorHAnsi" w:cstheme="minorHAnsi"/>
          <w:bCs/>
          <w:i/>
          <w:iCs/>
          <w:color w:val="000000" w:themeColor="text1"/>
          <w:sz w:val="20"/>
          <w:szCs w:val="20"/>
          <w:shd w:val="clear" w:color="auto" w:fill="FFFFFF"/>
        </w:rPr>
        <w:t>degrees</w:t>
      </w:r>
      <w:r w:rsidRPr="00DD021B" w:rsidR="00DD021B">
        <w:rPr>
          <w:rFonts w:asciiTheme="minorHAnsi" w:hAnsiTheme="minorHAnsi" w:cstheme="minorHAnsi"/>
          <w:bCs/>
          <w:i/>
          <w:iCs/>
          <w:color w:val="000000" w:themeColor="text1"/>
          <w:sz w:val="20"/>
          <w:szCs w:val="20"/>
          <w:shd w:val="clear" w:color="auto" w:fill="FFFFFF"/>
        </w:rPr>
        <w:t xml:space="preserve"> from academic years 2016/17 to 2021/22</w:t>
      </w:r>
      <w:r w:rsidR="00C27A6B">
        <w:rPr>
          <w:rFonts w:asciiTheme="minorHAnsi" w:hAnsiTheme="minorHAnsi" w:cstheme="minorHAnsi"/>
          <w:bCs/>
          <w:i/>
          <w:iCs/>
          <w:color w:val="000000" w:themeColor="text1"/>
          <w:sz w:val="20"/>
          <w:szCs w:val="20"/>
          <w:shd w:val="clear" w:color="auto" w:fill="FFFFFF"/>
        </w:rPr>
        <w:t xml:space="preserve"> at St </w:t>
      </w:r>
      <w:r w:rsidRPr="00940121" w:rsidR="00C27A6B">
        <w:rPr>
          <w:rFonts w:asciiTheme="minorHAnsi" w:hAnsiTheme="minorHAnsi" w:cstheme="minorHAnsi"/>
          <w:bCs/>
          <w:i/>
          <w:iCs/>
          <w:color w:val="000000" w:themeColor="text1"/>
          <w:sz w:val="20"/>
          <w:szCs w:val="20"/>
          <w:shd w:val="clear" w:color="auto" w:fill="FFFFFF"/>
        </w:rPr>
        <w:t>Mary’s, a competitor group</w:t>
      </w:r>
      <w:r w:rsidRPr="00940121" w:rsidR="00940121">
        <w:rPr>
          <w:rFonts w:asciiTheme="minorHAnsi" w:hAnsiTheme="minorHAnsi" w:cstheme="minorHAnsi"/>
          <w:bCs/>
          <w:i/>
          <w:iCs/>
          <w:color w:val="000000" w:themeColor="text1"/>
          <w:sz w:val="20"/>
          <w:szCs w:val="20"/>
          <w:shd w:val="clear" w:color="auto" w:fill="FFFFFF"/>
        </w:rPr>
        <w:t xml:space="preserve"> of London universities</w:t>
      </w:r>
      <w:r w:rsidRPr="00940121" w:rsidR="00C27A6B">
        <w:rPr>
          <w:rFonts w:asciiTheme="minorHAnsi" w:hAnsiTheme="minorHAnsi" w:cstheme="minorHAnsi"/>
          <w:bCs/>
          <w:i/>
          <w:iCs/>
          <w:color w:val="000000" w:themeColor="text1"/>
          <w:sz w:val="20"/>
          <w:szCs w:val="20"/>
          <w:shd w:val="clear" w:color="auto" w:fill="FFFFFF"/>
        </w:rPr>
        <w:t xml:space="preserve"> and </w:t>
      </w:r>
      <w:r w:rsidR="00C27A6B">
        <w:rPr>
          <w:rFonts w:asciiTheme="minorHAnsi" w:hAnsiTheme="minorHAnsi" w:cstheme="minorHAnsi"/>
          <w:bCs/>
          <w:i/>
          <w:iCs/>
          <w:color w:val="000000" w:themeColor="text1"/>
          <w:sz w:val="20"/>
          <w:szCs w:val="20"/>
          <w:shd w:val="clear" w:color="auto" w:fill="FFFFFF"/>
        </w:rPr>
        <w:t xml:space="preserve">the </w:t>
      </w:r>
      <w:r w:rsidR="00940121">
        <w:rPr>
          <w:rFonts w:asciiTheme="minorHAnsi" w:hAnsiTheme="minorHAnsi" w:cstheme="minorHAnsi"/>
          <w:bCs/>
          <w:i/>
          <w:iCs/>
          <w:color w:val="000000" w:themeColor="text1"/>
          <w:sz w:val="20"/>
          <w:szCs w:val="20"/>
          <w:shd w:val="clear" w:color="auto" w:fill="FFFFFF"/>
        </w:rPr>
        <w:t xml:space="preserve">wider </w:t>
      </w:r>
      <w:r w:rsidR="00C27A6B">
        <w:rPr>
          <w:rFonts w:asciiTheme="minorHAnsi" w:hAnsiTheme="minorHAnsi" w:cstheme="minorHAnsi"/>
          <w:bCs/>
          <w:i/>
          <w:iCs/>
          <w:color w:val="000000" w:themeColor="text1"/>
          <w:sz w:val="20"/>
          <w:szCs w:val="20"/>
          <w:shd w:val="clear" w:color="auto" w:fill="FFFFFF"/>
        </w:rPr>
        <w:t>sector of</w:t>
      </w:r>
      <w:r w:rsidRPr="00DD021B" w:rsidR="001F1F81">
        <w:rPr>
          <w:rFonts w:asciiTheme="minorHAnsi" w:hAnsiTheme="minorHAnsi" w:cstheme="minorHAnsi"/>
          <w:bCs/>
          <w:i/>
          <w:iCs/>
          <w:color w:val="000000" w:themeColor="text1"/>
          <w:sz w:val="20"/>
          <w:szCs w:val="20"/>
          <w:shd w:val="clear" w:color="auto" w:fill="FFFFFF"/>
        </w:rPr>
        <w:t xml:space="preserve"> 143 other UK HEIs</w:t>
      </w:r>
      <w:r w:rsidR="005D0A2D">
        <w:rPr>
          <w:rFonts w:asciiTheme="minorHAnsi" w:hAnsiTheme="minorHAnsi" w:cstheme="minorHAnsi"/>
          <w:bCs/>
          <w:i/>
          <w:iCs/>
          <w:color w:val="000000" w:themeColor="text1"/>
          <w:sz w:val="20"/>
          <w:szCs w:val="20"/>
          <w:shd w:val="clear" w:color="auto" w:fill="FFFFFF"/>
        </w:rPr>
        <w:t xml:space="preserve">. </w:t>
      </w:r>
      <w:r w:rsidR="00C27A6B">
        <w:rPr>
          <w:rFonts w:asciiTheme="minorHAnsi" w:hAnsiTheme="minorHAnsi" w:cstheme="minorHAnsi"/>
          <w:bCs/>
          <w:i/>
          <w:iCs/>
          <w:color w:val="000000" w:themeColor="text1"/>
          <w:sz w:val="20"/>
          <w:szCs w:val="20"/>
          <w:shd w:val="clear" w:color="auto" w:fill="FFFFFF"/>
        </w:rPr>
        <w:t>Ranking data is compared to sector.</w:t>
      </w:r>
      <w:r w:rsidR="005D0A2D">
        <w:rPr>
          <w:rFonts w:asciiTheme="minorHAnsi" w:hAnsiTheme="minorHAnsi" w:cstheme="minorHAnsi"/>
          <w:bCs/>
          <w:i/>
          <w:iCs/>
          <w:color w:val="000000" w:themeColor="text1"/>
          <w:sz w:val="20"/>
          <w:szCs w:val="20"/>
          <w:shd w:val="clear" w:color="auto" w:fill="FFFFFF"/>
        </w:rPr>
        <w:t xml:space="preserve"> </w:t>
      </w:r>
      <w:r w:rsidRPr="00DD021B" w:rsidR="005D0A2D">
        <w:rPr>
          <w:rFonts w:asciiTheme="minorHAnsi" w:hAnsiTheme="minorHAnsi" w:cstheme="minorHAnsi"/>
          <w:bCs/>
          <w:i/>
          <w:iCs/>
          <w:color w:val="000000" w:themeColor="text1"/>
          <w:sz w:val="20"/>
          <w:szCs w:val="20"/>
          <w:shd w:val="clear" w:color="auto" w:fill="FFFFFF"/>
        </w:rPr>
        <w:t>(</w:t>
      </w:r>
      <w:r w:rsidR="005D0A2D">
        <w:rPr>
          <w:rFonts w:asciiTheme="minorHAnsi" w:hAnsiTheme="minorHAnsi" w:cstheme="minorHAnsi"/>
          <w:bCs/>
          <w:i/>
          <w:iCs/>
          <w:color w:val="000000" w:themeColor="text1"/>
          <w:sz w:val="20"/>
          <w:szCs w:val="20"/>
          <w:shd w:val="clear" w:color="auto" w:fill="FFFFFF"/>
        </w:rPr>
        <w:t>So</w:t>
      </w:r>
      <w:r w:rsidRPr="00DD021B" w:rsidR="005D0A2D">
        <w:rPr>
          <w:rFonts w:asciiTheme="minorHAnsi" w:hAnsiTheme="minorHAnsi" w:cstheme="minorHAnsi"/>
          <w:bCs/>
          <w:i/>
          <w:iCs/>
          <w:color w:val="000000" w:themeColor="text1"/>
          <w:sz w:val="20"/>
          <w:szCs w:val="20"/>
          <w:shd w:val="clear" w:color="auto" w:fill="FFFFFF"/>
        </w:rPr>
        <w:t>urce OfS data</w:t>
      </w:r>
      <w:r w:rsidR="005D0A2D">
        <w:rPr>
          <w:rFonts w:asciiTheme="minorHAnsi" w:hAnsiTheme="minorHAnsi" w:cstheme="minorHAnsi"/>
          <w:bCs/>
          <w:i/>
          <w:iCs/>
          <w:color w:val="000000" w:themeColor="text1"/>
          <w:sz w:val="20"/>
          <w:szCs w:val="20"/>
          <w:shd w:val="clear" w:color="auto" w:fill="FFFFFF"/>
        </w:rPr>
        <w:t>, not yet available for 2021/22</w:t>
      </w:r>
      <w:r w:rsidRPr="00DD021B" w:rsidR="005D0A2D">
        <w:rPr>
          <w:rFonts w:asciiTheme="minorHAnsi" w:hAnsiTheme="minorHAnsi" w:cstheme="minorHAnsi"/>
          <w:bCs/>
          <w:i/>
          <w:iCs/>
          <w:color w:val="000000" w:themeColor="text1"/>
          <w:sz w:val="20"/>
          <w:szCs w:val="20"/>
          <w:shd w:val="clear" w:color="auto" w:fill="FFFFFF"/>
        </w:rPr>
        <w:t>).</w:t>
      </w:r>
    </w:p>
    <w:p w:rsidR="00DA7574" w:rsidP="00CE4CF1" w:rsidRDefault="00DA7574" w14:paraId="1AF55176" w14:textId="170B3EE4">
      <w:pPr>
        <w:pStyle w:val="NormalWeb"/>
        <w:spacing w:before="0" w:beforeAutospacing="0" w:after="0" w:afterAutospacing="0"/>
        <w:rPr>
          <w:rFonts w:asciiTheme="minorHAnsi" w:hAnsiTheme="minorHAnsi" w:cstheme="minorHAnsi"/>
        </w:rPr>
      </w:pPr>
    </w:p>
    <w:p w:rsidRPr="00940121" w:rsidR="00D31CAC" w:rsidP="00D31CAC" w:rsidRDefault="00C27A6B" w14:paraId="1D2C5F94" w14:textId="276AAED3">
      <w:pPr>
        <w:pStyle w:val="NormalWeb"/>
        <w:spacing w:before="0" w:beforeAutospacing="0" w:after="0" w:afterAutospacing="0"/>
        <w:rPr>
          <w:rFonts w:asciiTheme="minorHAnsi" w:hAnsiTheme="minorHAnsi" w:cstheme="minorHAnsi"/>
          <w:lang w:eastAsia="en-US"/>
        </w:rPr>
      </w:pPr>
      <w:r>
        <w:rPr>
          <w:rFonts w:asciiTheme="minorHAnsi" w:hAnsiTheme="minorHAnsi" w:cstheme="minorHAnsi"/>
          <w:color w:val="000000" w:themeColor="text1"/>
          <w:shd w:val="clear" w:color="auto" w:fill="FFFFFF"/>
        </w:rPr>
        <w:t>The academic years 2019/20 and 2020/21 were impacted by the introduction of a ‘No Detriment’ policy and associated algorithm</w:t>
      </w:r>
      <w:r w:rsidR="00940121">
        <w:rPr>
          <w:rFonts w:asciiTheme="minorHAnsi" w:hAnsiTheme="minorHAnsi" w:cstheme="minorHAnsi"/>
          <w:color w:val="000000" w:themeColor="text1"/>
          <w:shd w:val="clear" w:color="auto" w:fill="FFFFFF"/>
        </w:rPr>
        <w:t>s</w:t>
      </w:r>
      <w:r>
        <w:rPr>
          <w:rFonts w:asciiTheme="minorHAnsi" w:hAnsiTheme="minorHAnsi" w:cstheme="minorHAnsi"/>
          <w:color w:val="000000" w:themeColor="text1"/>
          <w:shd w:val="clear" w:color="auto" w:fill="FFFFFF"/>
        </w:rPr>
        <w:t xml:space="preserve"> at St Mary’s to limit the effect of COVID on students’ degree outcomes. </w:t>
      </w:r>
      <w:r w:rsidR="00940121">
        <w:rPr>
          <w:rFonts w:asciiTheme="minorHAnsi" w:hAnsiTheme="minorHAnsi" w:cstheme="minorHAnsi"/>
          <w:color w:val="000000" w:themeColor="text1"/>
          <w:shd w:val="clear" w:color="auto" w:fill="FFFFFF"/>
        </w:rPr>
        <w:t xml:space="preserve">Similar impacts were seen in many other universities. </w:t>
      </w:r>
      <w:r w:rsidR="00D31CAC">
        <w:rPr>
          <w:rFonts w:asciiTheme="minorHAnsi" w:hAnsiTheme="minorHAnsi" w:cstheme="minorHAnsi"/>
          <w:color w:val="000000" w:themeColor="text1"/>
          <w:shd w:val="clear" w:color="auto" w:fill="FFFFFF"/>
        </w:rPr>
        <w:t xml:space="preserve">St Mary’s University is a member of Universities UK (UUK) which has published </w:t>
      </w:r>
      <w:r w:rsidRPr="00B0747B" w:rsidR="00D31CAC">
        <w:rPr>
          <w:rFonts w:asciiTheme="minorHAnsi" w:hAnsiTheme="minorHAnsi" w:cstheme="minorHAnsi"/>
          <w:lang w:eastAsia="en-US"/>
        </w:rPr>
        <w:t>a</w:t>
      </w:r>
      <w:r w:rsidR="00940121">
        <w:rPr>
          <w:rFonts w:asciiTheme="minorHAnsi" w:hAnsiTheme="minorHAnsi" w:cstheme="minorHAnsi"/>
          <w:lang w:eastAsia="en-US"/>
        </w:rPr>
        <w:t xml:space="preserve"> </w:t>
      </w:r>
      <w:hyperlink w:history="1" r:id="rId14">
        <w:r w:rsidRPr="00D31CAC" w:rsidR="00D31CAC">
          <w:rPr>
            <w:rStyle w:val="Hyperlink"/>
            <w:rFonts w:asciiTheme="minorHAnsi" w:hAnsiTheme="minorHAnsi" w:cstheme="minorHAnsi"/>
            <w:color w:val="000000" w:themeColor="text1"/>
            <w:u w:val="none"/>
            <w:lang w:eastAsia="en-US"/>
          </w:rPr>
          <w:t>commitment to reversing apparent grade inflation</w:t>
        </w:r>
      </w:hyperlink>
      <w:r w:rsidRPr="00B0747B" w:rsidR="00D31CAC">
        <w:rPr>
          <w:rFonts w:asciiTheme="minorHAnsi" w:hAnsiTheme="minorHAnsi" w:cstheme="minorHAnsi"/>
          <w:color w:val="000000" w:themeColor="text1"/>
          <w:lang w:eastAsia="en-US"/>
        </w:rPr>
        <w:t xml:space="preserve"> </w:t>
      </w:r>
      <w:r w:rsidR="00940121">
        <w:rPr>
          <w:rFonts w:asciiTheme="minorHAnsi" w:hAnsiTheme="minorHAnsi" w:cstheme="minorHAnsi"/>
          <w:color w:val="000000" w:themeColor="text1"/>
          <w:lang w:eastAsia="en-US"/>
        </w:rPr>
        <w:t xml:space="preserve">in the sector </w:t>
      </w:r>
      <w:r w:rsidRPr="00B0747B" w:rsidR="00D31CAC">
        <w:rPr>
          <w:rFonts w:asciiTheme="minorHAnsi" w:hAnsiTheme="minorHAnsi" w:cstheme="minorHAnsi"/>
          <w:lang w:eastAsia="en-US"/>
        </w:rPr>
        <w:t xml:space="preserve">that </w:t>
      </w:r>
      <w:r w:rsidR="00D31CAC">
        <w:rPr>
          <w:rFonts w:asciiTheme="minorHAnsi" w:hAnsiTheme="minorHAnsi" w:cstheme="minorHAnsi"/>
          <w:lang w:eastAsia="en-US"/>
        </w:rPr>
        <w:t>appears to have</w:t>
      </w:r>
      <w:r w:rsidRPr="00B0747B" w:rsidR="00D31CAC">
        <w:rPr>
          <w:rFonts w:asciiTheme="minorHAnsi" w:hAnsiTheme="minorHAnsi" w:cstheme="minorHAnsi"/>
          <w:lang w:eastAsia="en-US"/>
        </w:rPr>
        <w:t xml:space="preserve"> occurred during the </w:t>
      </w:r>
      <w:r w:rsidR="00D31CAC">
        <w:rPr>
          <w:rFonts w:asciiTheme="minorHAnsi" w:hAnsiTheme="minorHAnsi" w:cstheme="minorHAnsi"/>
          <w:lang w:eastAsia="en-US"/>
        </w:rPr>
        <w:t xml:space="preserve">COVID </w:t>
      </w:r>
      <w:r w:rsidRPr="00B0747B" w:rsidR="00D31CAC">
        <w:rPr>
          <w:rFonts w:asciiTheme="minorHAnsi" w:hAnsiTheme="minorHAnsi" w:cstheme="minorHAnsi"/>
          <w:lang w:eastAsia="en-US"/>
        </w:rPr>
        <w:t xml:space="preserve">pandemic, partly due to the impact of </w:t>
      </w:r>
      <w:r w:rsidR="00D31CAC">
        <w:rPr>
          <w:rFonts w:asciiTheme="minorHAnsi" w:hAnsiTheme="minorHAnsi" w:cstheme="minorHAnsi"/>
          <w:lang w:eastAsia="en-US"/>
        </w:rPr>
        <w:t>‘</w:t>
      </w:r>
      <w:r w:rsidRPr="00B0747B" w:rsidR="00D31CAC">
        <w:rPr>
          <w:rFonts w:asciiTheme="minorHAnsi" w:hAnsiTheme="minorHAnsi" w:cstheme="minorHAnsi"/>
          <w:lang w:eastAsia="en-US"/>
        </w:rPr>
        <w:t>No Detriment</w:t>
      </w:r>
      <w:r w:rsidR="00D31CAC">
        <w:rPr>
          <w:rFonts w:asciiTheme="minorHAnsi" w:hAnsiTheme="minorHAnsi" w:cstheme="minorHAnsi"/>
          <w:lang w:eastAsia="en-US"/>
        </w:rPr>
        <w:t>’</w:t>
      </w:r>
      <w:r w:rsidRPr="00B0747B" w:rsidR="00D31CAC">
        <w:rPr>
          <w:rFonts w:asciiTheme="minorHAnsi" w:hAnsiTheme="minorHAnsi" w:cstheme="minorHAnsi"/>
          <w:lang w:eastAsia="en-US"/>
        </w:rPr>
        <w:t xml:space="preserve"> policies and other measures taken to safeguard students during the crisis. This commitment include</w:t>
      </w:r>
      <w:r w:rsidR="00940121">
        <w:rPr>
          <w:rFonts w:asciiTheme="minorHAnsi" w:hAnsiTheme="minorHAnsi" w:cstheme="minorHAnsi"/>
          <w:lang w:eastAsia="en-US"/>
        </w:rPr>
        <w:t xml:space="preserve">s </w:t>
      </w:r>
      <w:r w:rsidRPr="00B0747B" w:rsidR="00D31CAC">
        <w:rPr>
          <w:rFonts w:asciiTheme="minorHAnsi" w:hAnsiTheme="minorHAnsi" w:cstheme="minorHAnsi"/>
          <w:lang w:eastAsia="en-US"/>
        </w:rPr>
        <w:t>an objective to return to pre-COVID levels of good honours by 2023.</w:t>
      </w:r>
      <w:r w:rsidR="00D31CAC">
        <w:rPr>
          <w:rFonts w:asciiTheme="minorHAnsi" w:hAnsiTheme="minorHAnsi" w:cstheme="minorHAnsi"/>
          <w:lang w:eastAsia="en-US"/>
        </w:rPr>
        <w:t xml:space="preserve"> </w:t>
      </w:r>
      <w:r w:rsidRPr="00BE0B92" w:rsidR="00D31CAC">
        <w:rPr>
          <w:rFonts w:asciiTheme="minorHAnsi" w:hAnsiTheme="minorHAnsi" w:cstheme="minorHAnsi"/>
          <w:color w:val="333333"/>
          <w:shd w:val="clear" w:color="auto" w:fill="FFFFFF"/>
        </w:rPr>
        <w:t>S</w:t>
      </w:r>
      <w:r w:rsidR="00D31CAC">
        <w:rPr>
          <w:rFonts w:asciiTheme="minorHAnsi" w:hAnsiTheme="minorHAnsi" w:cstheme="minorHAnsi"/>
          <w:color w:val="333333"/>
          <w:shd w:val="clear" w:color="auto" w:fill="FFFFFF"/>
        </w:rPr>
        <w:t>t Mary’s University</w:t>
      </w:r>
      <w:r w:rsidRPr="00BE0B92" w:rsidR="00D31CAC">
        <w:rPr>
          <w:rFonts w:asciiTheme="minorHAnsi" w:hAnsiTheme="minorHAnsi" w:cstheme="minorHAnsi"/>
          <w:color w:val="333333"/>
          <w:shd w:val="clear" w:color="auto" w:fill="FFFFFF"/>
        </w:rPr>
        <w:t xml:space="preserve"> shares the commitment of</w:t>
      </w:r>
      <w:r w:rsidR="00D31CAC">
        <w:rPr>
          <w:rFonts w:asciiTheme="minorHAnsi" w:hAnsiTheme="minorHAnsi" w:cstheme="minorHAnsi"/>
          <w:color w:val="333333"/>
          <w:shd w:val="clear" w:color="auto" w:fill="FFFFFF"/>
        </w:rPr>
        <w:t xml:space="preserve"> </w:t>
      </w:r>
      <w:r w:rsidRPr="00BE0B92" w:rsidR="00D31CAC">
        <w:rPr>
          <w:rFonts w:asciiTheme="minorHAnsi" w:hAnsiTheme="minorHAnsi" w:cstheme="minorHAnsi"/>
          <w:color w:val="333333"/>
          <w:shd w:val="clear" w:color="auto" w:fill="FFFFFF"/>
        </w:rPr>
        <w:t xml:space="preserve">UUK </w:t>
      </w:r>
      <w:r w:rsidR="00D31CAC">
        <w:rPr>
          <w:rFonts w:asciiTheme="minorHAnsi" w:hAnsiTheme="minorHAnsi" w:cstheme="minorHAnsi"/>
          <w:color w:val="333333"/>
          <w:shd w:val="clear" w:color="auto" w:fill="FFFFFF"/>
        </w:rPr>
        <w:t xml:space="preserve">to return its own ‘Good Honours’ figures to pre-COVID levels and (as can be seen </w:t>
      </w:r>
      <w:r w:rsidRPr="00D31CAC" w:rsidR="00D31CAC">
        <w:rPr>
          <w:rFonts w:asciiTheme="minorHAnsi" w:hAnsiTheme="minorHAnsi" w:cstheme="minorHAnsi"/>
          <w:color w:val="333333"/>
          <w:shd w:val="clear" w:color="auto" w:fill="FFFFFF"/>
        </w:rPr>
        <w:t xml:space="preserve">in </w:t>
      </w:r>
      <w:r w:rsidRPr="00C025C4" w:rsidR="00C025C4">
        <w:rPr>
          <w:rFonts w:asciiTheme="minorHAnsi" w:hAnsiTheme="minorHAnsi" w:cstheme="minorHAnsi"/>
          <w:b/>
          <w:color w:val="333333"/>
          <w:shd w:val="clear" w:color="auto" w:fill="FFFFFF"/>
        </w:rPr>
        <w:t>T</w:t>
      </w:r>
      <w:r w:rsidRPr="00C025C4" w:rsidR="00D31CAC">
        <w:rPr>
          <w:rFonts w:asciiTheme="minorHAnsi" w:hAnsiTheme="minorHAnsi" w:cstheme="minorHAnsi"/>
          <w:b/>
          <w:color w:val="333333"/>
          <w:shd w:val="clear" w:color="auto" w:fill="FFFFFF"/>
        </w:rPr>
        <w:t>able 1</w:t>
      </w:r>
      <w:r w:rsidR="00D31CAC">
        <w:rPr>
          <w:rFonts w:asciiTheme="minorHAnsi" w:hAnsiTheme="minorHAnsi" w:cstheme="minorHAnsi"/>
          <w:color w:val="333333"/>
          <w:shd w:val="clear" w:color="auto" w:fill="FFFFFF"/>
        </w:rPr>
        <w:t>) is on course to do so.</w:t>
      </w:r>
    </w:p>
    <w:p w:rsidR="005B711D" w:rsidP="00CE4CF1" w:rsidRDefault="005B711D" w14:paraId="70B41FE1" w14:textId="77777777">
      <w:pPr>
        <w:pStyle w:val="NormalWeb"/>
        <w:spacing w:before="0" w:beforeAutospacing="0" w:after="0" w:afterAutospacing="0"/>
        <w:rPr>
          <w:rFonts w:asciiTheme="minorHAnsi" w:hAnsiTheme="minorHAnsi" w:cstheme="minorHAnsi"/>
        </w:rPr>
      </w:pPr>
    </w:p>
    <w:p w:rsidRPr="004C7643" w:rsidR="00C240D9" w:rsidP="00CE4CF1" w:rsidRDefault="00C240D9" w14:paraId="42D51C72" w14:textId="231A1776">
      <w:pPr>
        <w:rPr>
          <w:rFonts w:asciiTheme="minorHAnsi" w:hAnsiTheme="minorHAnsi" w:cstheme="minorBidi"/>
          <w:b/>
          <w:bCs/>
          <w:color w:val="000000" w:themeColor="text1"/>
        </w:rPr>
      </w:pPr>
      <w:r w:rsidRPr="004C7643">
        <w:rPr>
          <w:rFonts w:asciiTheme="minorHAnsi" w:hAnsiTheme="minorHAnsi" w:cstheme="minorBidi"/>
          <w:b/>
          <w:bCs/>
          <w:color w:val="000000" w:themeColor="text1"/>
        </w:rPr>
        <w:t>Degree outcomes across academic units</w:t>
      </w:r>
    </w:p>
    <w:p w:rsidRPr="0031775D" w:rsidR="00CC760E" w:rsidP="00CE4CF1" w:rsidRDefault="00DA7574" w14:paraId="305A8D0C" w14:textId="760F34C1">
      <w:pPr>
        <w:rPr>
          <w:rFonts w:asciiTheme="minorHAnsi" w:hAnsiTheme="minorHAnsi" w:cstheme="minorBidi"/>
        </w:rPr>
      </w:pPr>
      <w:r>
        <w:rPr>
          <w:rFonts w:asciiTheme="minorHAnsi" w:hAnsiTheme="minorHAnsi" w:cstheme="minorBidi"/>
        </w:rPr>
        <w:t xml:space="preserve">There are </w:t>
      </w:r>
      <w:r w:rsidR="00C240D9">
        <w:rPr>
          <w:rFonts w:asciiTheme="minorHAnsi" w:hAnsiTheme="minorHAnsi" w:cstheme="minorBidi"/>
        </w:rPr>
        <w:t xml:space="preserve">some </w:t>
      </w:r>
      <w:r>
        <w:rPr>
          <w:rFonts w:asciiTheme="minorHAnsi" w:hAnsiTheme="minorHAnsi" w:cstheme="minorBidi"/>
        </w:rPr>
        <w:t>differences in</w:t>
      </w:r>
      <w:r w:rsidR="00C240D9">
        <w:rPr>
          <w:rFonts w:asciiTheme="minorHAnsi" w:hAnsiTheme="minorHAnsi" w:cstheme="minorBidi"/>
        </w:rPr>
        <w:t xml:space="preserve"> the number of</w:t>
      </w:r>
      <w:r>
        <w:rPr>
          <w:rFonts w:asciiTheme="minorHAnsi" w:hAnsiTheme="minorHAnsi" w:cstheme="minorBidi"/>
        </w:rPr>
        <w:t xml:space="preserve"> good honours outcomes between the four academic units</w:t>
      </w:r>
      <w:r w:rsidR="00C240D9">
        <w:rPr>
          <w:rFonts w:asciiTheme="minorHAnsi" w:hAnsiTheme="minorHAnsi" w:cstheme="minorBidi"/>
        </w:rPr>
        <w:t xml:space="preserve"> within the university</w:t>
      </w:r>
      <w:r w:rsidR="00C93B82">
        <w:rPr>
          <w:rFonts w:asciiTheme="minorHAnsi" w:hAnsiTheme="minorHAnsi" w:cstheme="minorBidi"/>
        </w:rPr>
        <w:t xml:space="preserve">. Data for academic years 2017/2018 to 2021/21 shows that </w:t>
      </w:r>
      <w:r w:rsidR="006A4B02">
        <w:rPr>
          <w:rFonts w:asciiTheme="minorHAnsi" w:hAnsiTheme="minorHAnsi" w:cstheme="minorBidi"/>
        </w:rPr>
        <w:t xml:space="preserve">an average of </w:t>
      </w:r>
      <w:r w:rsidR="00C93B82">
        <w:rPr>
          <w:rFonts w:asciiTheme="minorHAnsi" w:hAnsiTheme="minorHAnsi" w:cstheme="minorBidi"/>
        </w:rPr>
        <w:t>76% of students graduate</w:t>
      </w:r>
      <w:r w:rsidR="00940121">
        <w:rPr>
          <w:rFonts w:asciiTheme="minorHAnsi" w:hAnsiTheme="minorHAnsi" w:cstheme="minorBidi"/>
        </w:rPr>
        <w:t>d</w:t>
      </w:r>
      <w:r w:rsidR="00C93B82">
        <w:rPr>
          <w:rFonts w:asciiTheme="minorHAnsi" w:hAnsiTheme="minorHAnsi" w:cstheme="minorBidi"/>
        </w:rPr>
        <w:t xml:space="preserve"> with good honours from SHA, compared to 85% of students from TLA </w:t>
      </w:r>
      <w:r w:rsidR="00C93B82">
        <w:rPr>
          <w:rFonts w:asciiTheme="minorHAnsi" w:hAnsiTheme="minorHAnsi" w:cstheme="minorBidi"/>
        </w:rPr>
        <w:lastRenderedPageBreak/>
        <w:t xml:space="preserve">(see </w:t>
      </w:r>
      <w:r w:rsidRPr="00C025C4" w:rsidR="00C025C4">
        <w:rPr>
          <w:rFonts w:asciiTheme="minorHAnsi" w:hAnsiTheme="minorHAnsi" w:cstheme="minorBidi"/>
          <w:b/>
        </w:rPr>
        <w:t>F</w:t>
      </w:r>
      <w:r w:rsidRPr="00C025C4" w:rsidR="00C93B82">
        <w:rPr>
          <w:rFonts w:asciiTheme="minorHAnsi" w:hAnsiTheme="minorHAnsi" w:cstheme="minorBidi"/>
          <w:b/>
        </w:rPr>
        <w:t>igure 2</w:t>
      </w:r>
      <w:r w:rsidR="00C93B82">
        <w:rPr>
          <w:rFonts w:asciiTheme="minorHAnsi" w:hAnsiTheme="minorHAnsi" w:cstheme="minorBidi"/>
        </w:rPr>
        <w:t xml:space="preserve">). </w:t>
      </w:r>
      <w:r w:rsidR="00C240D9">
        <w:rPr>
          <w:rFonts w:asciiTheme="minorHAnsi" w:hAnsiTheme="minorHAnsi" w:cstheme="minorBidi"/>
        </w:rPr>
        <w:t xml:space="preserve"> </w:t>
      </w:r>
      <w:r w:rsidR="00C93B82">
        <w:rPr>
          <w:rFonts w:asciiTheme="minorHAnsi" w:hAnsiTheme="minorHAnsi" w:cstheme="minorBidi"/>
        </w:rPr>
        <w:t>Whilst a</w:t>
      </w:r>
      <w:r w:rsidR="00C240D9">
        <w:rPr>
          <w:rFonts w:asciiTheme="minorHAnsi" w:hAnsiTheme="minorHAnsi" w:cstheme="minorBidi"/>
        </w:rPr>
        <w:t>ll</w:t>
      </w:r>
      <w:r w:rsidR="00C93B82">
        <w:rPr>
          <w:rFonts w:asciiTheme="minorHAnsi" w:hAnsiTheme="minorHAnsi" w:cstheme="minorBidi"/>
        </w:rPr>
        <w:t xml:space="preserve"> units</w:t>
      </w:r>
      <w:r w:rsidR="00C240D9">
        <w:rPr>
          <w:rFonts w:asciiTheme="minorHAnsi" w:hAnsiTheme="minorHAnsi" w:cstheme="minorBidi"/>
        </w:rPr>
        <w:t xml:space="preserve"> have shown a slight increase in good honours outcomes over a four year period</w:t>
      </w:r>
      <w:r w:rsidR="00C93B82">
        <w:rPr>
          <w:rFonts w:asciiTheme="minorHAnsi" w:hAnsiTheme="minorHAnsi" w:cstheme="minorBidi"/>
        </w:rPr>
        <w:t xml:space="preserve"> t</w:t>
      </w:r>
      <w:r>
        <w:rPr>
          <w:rFonts w:asciiTheme="minorHAnsi" w:hAnsiTheme="minorHAnsi" w:cstheme="minorBidi"/>
        </w:rPr>
        <w:t>he largest increase in good honours outcomes occurred within our</w:t>
      </w:r>
      <w:r w:rsidR="00CC760E">
        <w:rPr>
          <w:rFonts w:asciiTheme="minorHAnsi" w:hAnsiTheme="minorHAnsi" w:cstheme="minorBidi"/>
        </w:rPr>
        <w:t xml:space="preserve"> cohort of </w:t>
      </w:r>
      <w:r>
        <w:rPr>
          <w:rFonts w:asciiTheme="minorHAnsi" w:hAnsiTheme="minorHAnsi" w:cstheme="minorBidi"/>
        </w:rPr>
        <w:t>joint honours stud</w:t>
      </w:r>
      <w:r w:rsidR="00CC760E">
        <w:rPr>
          <w:rFonts w:asciiTheme="minorHAnsi" w:hAnsiTheme="minorHAnsi" w:cstheme="minorBidi"/>
        </w:rPr>
        <w:t>ents.</w:t>
      </w:r>
      <w:r w:rsidR="00B0747B">
        <w:rPr>
          <w:rFonts w:asciiTheme="minorHAnsi" w:hAnsiTheme="minorHAnsi" w:cstheme="minorBidi"/>
        </w:rPr>
        <w:t xml:space="preserve"> </w:t>
      </w:r>
      <w:r w:rsidR="00C93B82">
        <w:rPr>
          <w:rFonts w:asciiTheme="minorHAnsi" w:hAnsiTheme="minorHAnsi" w:cstheme="minorBidi"/>
        </w:rPr>
        <w:t>In 2017/18 68% of joint honours students graduated with good honours, that has now risen to be comparable with the other units in the university.</w:t>
      </w:r>
      <w:r w:rsidR="00940121">
        <w:rPr>
          <w:rFonts w:asciiTheme="minorHAnsi" w:hAnsiTheme="minorHAnsi" w:cstheme="minorBidi"/>
        </w:rPr>
        <w:t xml:space="preserve"> </w:t>
      </w:r>
      <w:r w:rsidR="00CC760E">
        <w:rPr>
          <w:rFonts w:asciiTheme="minorHAnsi" w:hAnsiTheme="minorHAnsi" w:cstheme="minorBidi"/>
        </w:rPr>
        <w:t>The University recognises that it needs to develop a better understanding of the factors that drive such differences – for example, whether they are driven by differences in student socio-economic backgrounds, ethnicity, entry qualifications, prior family experience of higher education etc.</w:t>
      </w:r>
      <w:r w:rsidRPr="00CC760E" w:rsidR="00CC760E">
        <w:rPr>
          <w:rFonts w:ascii="Segoe UI" w:hAnsi="Segoe UI" w:cs="Segoe UI"/>
          <w:color w:val="333333"/>
          <w:sz w:val="18"/>
          <w:szCs w:val="18"/>
          <w:shd w:val="clear" w:color="auto" w:fill="FFFFFF"/>
        </w:rPr>
        <w:t xml:space="preserve"> </w:t>
      </w:r>
      <w:r w:rsidR="00CC760E">
        <w:rPr>
          <w:rFonts w:asciiTheme="minorHAnsi" w:hAnsiTheme="minorHAnsi" w:cstheme="minorBidi"/>
        </w:rPr>
        <w:t>T</w:t>
      </w:r>
      <w:r w:rsidRPr="00CC760E" w:rsidR="00CC760E">
        <w:rPr>
          <w:rFonts w:asciiTheme="minorHAnsi" w:hAnsiTheme="minorHAnsi" w:cstheme="minorBidi"/>
        </w:rPr>
        <w:t>he University</w:t>
      </w:r>
      <w:r w:rsidR="0063619F">
        <w:rPr>
          <w:rFonts w:asciiTheme="minorHAnsi" w:hAnsiTheme="minorHAnsi" w:cstheme="minorBidi"/>
        </w:rPr>
        <w:t>,</w:t>
      </w:r>
      <w:r w:rsidR="00E80B47">
        <w:rPr>
          <w:rFonts w:asciiTheme="minorHAnsi" w:hAnsiTheme="minorHAnsi" w:cstheme="minorBidi"/>
        </w:rPr>
        <w:t xml:space="preserve"> </w:t>
      </w:r>
      <w:r w:rsidRPr="00CC760E" w:rsidR="00CC760E">
        <w:rPr>
          <w:rFonts w:asciiTheme="minorHAnsi" w:hAnsiTheme="minorHAnsi" w:cstheme="minorBidi"/>
        </w:rPr>
        <w:t>through its Degree Outcomes Steering Group</w:t>
      </w:r>
      <w:r w:rsidR="006A4B02">
        <w:rPr>
          <w:rFonts w:asciiTheme="minorHAnsi" w:hAnsiTheme="minorHAnsi" w:cstheme="minorBidi"/>
        </w:rPr>
        <w:t xml:space="preserve"> (DOSG)</w:t>
      </w:r>
      <w:r w:rsidR="0063619F">
        <w:rPr>
          <w:rFonts w:asciiTheme="minorHAnsi" w:hAnsiTheme="minorHAnsi" w:cstheme="minorBidi"/>
        </w:rPr>
        <w:t>,</w:t>
      </w:r>
      <w:r w:rsidR="00E80B47">
        <w:rPr>
          <w:rFonts w:asciiTheme="minorHAnsi" w:hAnsiTheme="minorHAnsi" w:cstheme="minorBidi"/>
        </w:rPr>
        <w:t xml:space="preserve"> </w:t>
      </w:r>
      <w:r w:rsidR="0063619F">
        <w:rPr>
          <w:rFonts w:asciiTheme="minorHAnsi" w:hAnsiTheme="minorHAnsi" w:cstheme="minorBidi"/>
        </w:rPr>
        <w:t>will</w:t>
      </w:r>
      <w:r w:rsidRPr="00CC760E" w:rsidR="00CC760E">
        <w:rPr>
          <w:rFonts w:asciiTheme="minorHAnsi" w:hAnsiTheme="minorHAnsi" w:cstheme="minorBidi"/>
        </w:rPr>
        <w:t xml:space="preserve"> interroga</w:t>
      </w:r>
      <w:r w:rsidR="00E80B47">
        <w:rPr>
          <w:rFonts w:asciiTheme="minorHAnsi" w:hAnsiTheme="minorHAnsi" w:cstheme="minorBidi"/>
        </w:rPr>
        <w:t>te</w:t>
      </w:r>
      <w:r w:rsidRPr="00CC760E" w:rsidR="00CC760E">
        <w:rPr>
          <w:rFonts w:asciiTheme="minorHAnsi" w:hAnsiTheme="minorHAnsi" w:cstheme="minorBidi"/>
        </w:rPr>
        <w:t xml:space="preserve"> the data and explor</w:t>
      </w:r>
      <w:r w:rsidR="00E80B47">
        <w:rPr>
          <w:rFonts w:asciiTheme="minorHAnsi" w:hAnsiTheme="minorHAnsi" w:cstheme="minorBidi"/>
        </w:rPr>
        <w:t>e</w:t>
      </w:r>
      <w:r w:rsidRPr="00CC760E" w:rsidR="00CC760E">
        <w:rPr>
          <w:rFonts w:asciiTheme="minorHAnsi" w:hAnsiTheme="minorHAnsi" w:cstheme="minorBidi"/>
        </w:rPr>
        <w:t xml:space="preserve"> opportunities to address differences </w:t>
      </w:r>
      <w:r w:rsidR="00206AA0">
        <w:rPr>
          <w:rFonts w:asciiTheme="minorHAnsi" w:hAnsiTheme="minorHAnsi" w:cstheme="minorBidi"/>
        </w:rPr>
        <w:t>across academic units</w:t>
      </w:r>
      <w:r w:rsidR="00E80B47">
        <w:rPr>
          <w:rFonts w:asciiTheme="minorHAnsi" w:hAnsiTheme="minorHAnsi" w:cstheme="minorBidi"/>
        </w:rPr>
        <w:t>.</w:t>
      </w:r>
    </w:p>
    <w:p w:rsidR="00DA7574" w:rsidP="00837AC9" w:rsidRDefault="00DA7574" w14:paraId="501420B7" w14:textId="77777777">
      <w:pPr>
        <w:jc w:val="center"/>
        <w:rPr>
          <w:rFonts w:asciiTheme="minorHAnsi" w:hAnsiTheme="minorHAnsi" w:cstheme="minorBidi"/>
        </w:rPr>
      </w:pPr>
      <w:bookmarkStart w:name="_Hlk119396274" w:id="0"/>
      <w:r>
        <w:rPr>
          <w:noProof/>
        </w:rPr>
        <w:drawing>
          <wp:inline distT="0" distB="0" distL="0" distR="0" wp14:anchorId="4539B10F" wp14:editId="07FCB6DC">
            <wp:extent cx="6341858" cy="276318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69268" cy="2862271"/>
                    </a:xfrm>
                    <a:prstGeom prst="rect">
                      <a:avLst/>
                    </a:prstGeom>
                    <a:noFill/>
                    <a:ln>
                      <a:noFill/>
                    </a:ln>
                  </pic:spPr>
                </pic:pic>
              </a:graphicData>
            </a:graphic>
          </wp:inline>
        </w:drawing>
      </w:r>
    </w:p>
    <w:p w:rsidRPr="00940121" w:rsidR="00DA7574" w:rsidP="00940121" w:rsidRDefault="00E80B47" w14:paraId="4A077F86" w14:textId="6973037F">
      <w:pPr>
        <w:jc w:val="center"/>
        <w:rPr>
          <w:rFonts w:asciiTheme="minorHAnsi" w:hAnsiTheme="minorHAnsi" w:cstheme="minorBidi"/>
          <w:bCs/>
          <w:i/>
          <w:iCs/>
          <w:sz w:val="20"/>
          <w:szCs w:val="20"/>
        </w:rPr>
      </w:pPr>
      <w:r w:rsidRPr="00940121">
        <w:rPr>
          <w:rFonts w:asciiTheme="minorHAnsi" w:hAnsiTheme="minorHAnsi" w:cstheme="minorBidi"/>
          <w:b/>
          <w:bCs/>
          <w:i/>
          <w:iCs/>
          <w:sz w:val="20"/>
          <w:szCs w:val="20"/>
        </w:rPr>
        <w:t xml:space="preserve">Figure </w:t>
      </w:r>
      <w:r w:rsidRPr="00940121" w:rsidR="00C93B82">
        <w:rPr>
          <w:rFonts w:asciiTheme="minorHAnsi" w:hAnsiTheme="minorHAnsi" w:cstheme="minorBidi"/>
          <w:b/>
          <w:bCs/>
          <w:i/>
          <w:iCs/>
          <w:sz w:val="20"/>
          <w:szCs w:val="20"/>
        </w:rPr>
        <w:t>1</w:t>
      </w:r>
      <w:r w:rsidRPr="00940121" w:rsidR="00940121">
        <w:rPr>
          <w:rFonts w:asciiTheme="minorHAnsi" w:hAnsiTheme="minorHAnsi" w:cstheme="minorBidi"/>
          <w:b/>
          <w:bCs/>
          <w:i/>
          <w:iCs/>
          <w:sz w:val="20"/>
          <w:szCs w:val="20"/>
        </w:rPr>
        <w:t>:</w:t>
      </w:r>
      <w:r w:rsidRPr="00940121" w:rsidR="00940121">
        <w:rPr>
          <w:rFonts w:asciiTheme="minorHAnsi" w:hAnsiTheme="minorHAnsi" w:cstheme="minorBidi"/>
          <w:bCs/>
          <w:i/>
          <w:iCs/>
          <w:sz w:val="20"/>
          <w:szCs w:val="20"/>
        </w:rPr>
        <w:t xml:space="preserve"> </w:t>
      </w:r>
      <w:r w:rsidRPr="00940121" w:rsidR="00140024">
        <w:rPr>
          <w:rFonts w:asciiTheme="minorHAnsi" w:hAnsiTheme="minorHAnsi" w:cstheme="minorBidi"/>
          <w:bCs/>
          <w:i/>
          <w:iCs/>
          <w:sz w:val="20"/>
          <w:szCs w:val="20"/>
        </w:rPr>
        <w:t>Percentage of students awarded g</w:t>
      </w:r>
      <w:r w:rsidRPr="00940121" w:rsidR="00C93B82">
        <w:rPr>
          <w:rFonts w:asciiTheme="minorHAnsi" w:hAnsiTheme="minorHAnsi" w:cstheme="minorBidi"/>
          <w:bCs/>
          <w:i/>
          <w:iCs/>
          <w:sz w:val="20"/>
          <w:szCs w:val="20"/>
        </w:rPr>
        <w:t>ood honours and other d</w:t>
      </w:r>
      <w:r w:rsidRPr="00940121" w:rsidR="00DA7574">
        <w:rPr>
          <w:rFonts w:asciiTheme="minorHAnsi" w:hAnsiTheme="minorHAnsi" w:cstheme="minorBidi"/>
          <w:bCs/>
          <w:i/>
          <w:iCs/>
          <w:sz w:val="20"/>
          <w:szCs w:val="20"/>
        </w:rPr>
        <w:t>egree outcomes</w:t>
      </w:r>
      <w:r w:rsidRPr="00940121" w:rsidR="00C93B82">
        <w:rPr>
          <w:rFonts w:asciiTheme="minorHAnsi" w:hAnsiTheme="minorHAnsi" w:cstheme="minorBidi"/>
          <w:bCs/>
          <w:i/>
          <w:iCs/>
          <w:sz w:val="20"/>
          <w:szCs w:val="20"/>
        </w:rPr>
        <w:t xml:space="preserve"> by academic units </w:t>
      </w:r>
      <w:r w:rsidRPr="00940121" w:rsidR="00C93B82">
        <w:rPr>
          <w:rFonts w:asciiTheme="minorHAnsi" w:hAnsiTheme="minorHAnsi" w:cstheme="minorHAnsi"/>
          <w:bCs/>
          <w:i/>
          <w:iCs/>
          <w:color w:val="000000" w:themeColor="text1"/>
          <w:sz w:val="20"/>
          <w:szCs w:val="20"/>
          <w:shd w:val="clear" w:color="auto" w:fill="FFFFFF"/>
        </w:rPr>
        <w:t>from academic years 2017/18 to 2020/21</w:t>
      </w:r>
      <w:r w:rsidRPr="00940121" w:rsidR="00C93B82">
        <w:rPr>
          <w:rStyle w:val="FootnoteReference"/>
          <w:rFonts w:asciiTheme="minorHAnsi" w:hAnsiTheme="minorHAnsi" w:cstheme="minorHAnsi"/>
          <w:bCs/>
          <w:i/>
          <w:iCs/>
          <w:color w:val="000000" w:themeColor="text1"/>
          <w:sz w:val="20"/>
          <w:szCs w:val="20"/>
          <w:shd w:val="clear" w:color="auto" w:fill="FFFFFF"/>
        </w:rPr>
        <w:footnoteReference w:id="1"/>
      </w:r>
    </w:p>
    <w:bookmarkEnd w:id="0"/>
    <w:p w:rsidR="00DA7574" w:rsidP="00CE4CF1" w:rsidRDefault="00DA7574" w14:paraId="1CB406F5" w14:textId="77777777">
      <w:pPr>
        <w:pStyle w:val="NormalWeb"/>
        <w:spacing w:before="0" w:beforeAutospacing="0" w:after="0" w:afterAutospacing="0"/>
        <w:rPr>
          <w:rFonts w:asciiTheme="minorHAnsi" w:hAnsiTheme="minorHAnsi" w:cstheme="minorHAnsi"/>
        </w:rPr>
      </w:pPr>
    </w:p>
    <w:p w:rsidRPr="003F1336" w:rsidR="003F1336" w:rsidP="00CE4CF1" w:rsidRDefault="003F1336" w14:paraId="417B9F39" w14:textId="77777777">
      <w:pPr>
        <w:pStyle w:val="Heading4"/>
        <w:spacing w:before="0" w:beforeAutospacing="0" w:after="0" w:afterAutospacing="0"/>
        <w:rPr>
          <w:rFonts w:eastAsia="Times New Roman" w:asciiTheme="minorHAnsi" w:hAnsiTheme="minorHAnsi" w:cstheme="minorHAnsi"/>
          <w:bCs w:val="0"/>
          <w:color w:val="000000" w:themeColor="text1"/>
          <w:sz w:val="22"/>
          <w:szCs w:val="22"/>
        </w:rPr>
      </w:pPr>
      <w:r w:rsidRPr="003F1336">
        <w:rPr>
          <w:rFonts w:eastAsia="Times New Roman" w:asciiTheme="minorHAnsi" w:hAnsiTheme="minorHAnsi" w:cstheme="minorHAnsi"/>
          <w:bCs w:val="0"/>
          <w:color w:val="000000" w:themeColor="text1"/>
          <w:sz w:val="22"/>
          <w:szCs w:val="22"/>
        </w:rPr>
        <w:t>Degree outcomes for different demographic groups of undergraduate students</w:t>
      </w:r>
    </w:p>
    <w:p w:rsidR="00206AA0" w:rsidP="00CE4CF1" w:rsidRDefault="00D81230" w14:paraId="221856F5" w14:textId="07F2FC6B">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I</w:t>
      </w:r>
      <w:r w:rsidR="0098069D">
        <w:rPr>
          <w:rFonts w:asciiTheme="minorHAnsi" w:hAnsiTheme="minorHAnsi" w:cstheme="minorHAnsi"/>
          <w:color w:val="000000" w:themeColor="text1"/>
        </w:rPr>
        <w:t>t is clear that there are some differences in degree classification</w:t>
      </w:r>
      <w:r w:rsidR="00E80B47">
        <w:rPr>
          <w:rFonts w:asciiTheme="minorHAnsi" w:hAnsiTheme="minorHAnsi" w:cstheme="minorHAnsi"/>
          <w:color w:val="000000" w:themeColor="text1"/>
        </w:rPr>
        <w:t xml:space="preserve"> outcomes</w:t>
      </w:r>
      <w:r w:rsidR="0098069D">
        <w:rPr>
          <w:rFonts w:asciiTheme="minorHAnsi" w:hAnsiTheme="minorHAnsi" w:cstheme="minorHAnsi"/>
          <w:color w:val="000000" w:themeColor="text1"/>
        </w:rPr>
        <w:t xml:space="preserve"> </w:t>
      </w:r>
      <w:r>
        <w:rPr>
          <w:rFonts w:asciiTheme="minorHAnsi" w:hAnsiTheme="minorHAnsi" w:cstheme="minorHAnsi"/>
          <w:color w:val="000000" w:themeColor="text1"/>
        </w:rPr>
        <w:t>across demographic groups (s</w:t>
      </w:r>
      <w:r w:rsidRPr="00B24539">
        <w:rPr>
          <w:rFonts w:asciiTheme="minorHAnsi" w:hAnsiTheme="minorHAnsi" w:cstheme="minorHAnsi"/>
          <w:color w:val="000000" w:themeColor="text1"/>
        </w:rPr>
        <w:t xml:space="preserve">ee </w:t>
      </w:r>
      <w:r w:rsidR="00940121">
        <w:rPr>
          <w:rFonts w:asciiTheme="minorHAnsi" w:hAnsiTheme="minorHAnsi" w:cstheme="minorHAnsi"/>
          <w:color w:val="000000" w:themeColor="text1"/>
        </w:rPr>
        <w:t>T</w:t>
      </w:r>
      <w:r>
        <w:rPr>
          <w:rFonts w:asciiTheme="minorHAnsi" w:hAnsiTheme="minorHAnsi" w:cstheme="minorHAnsi"/>
          <w:color w:val="000000" w:themeColor="text1"/>
        </w:rPr>
        <w:t>able 2)</w:t>
      </w:r>
      <w:r w:rsidR="0098069D">
        <w:rPr>
          <w:rFonts w:asciiTheme="minorHAnsi" w:hAnsiTheme="minorHAnsi" w:cstheme="minorHAnsi"/>
          <w:color w:val="000000" w:themeColor="text1"/>
        </w:rPr>
        <w:t>.</w:t>
      </w:r>
      <w:r w:rsidR="0076019F">
        <w:rPr>
          <w:rFonts w:asciiTheme="minorHAnsi" w:hAnsiTheme="minorHAnsi" w:cstheme="minorHAnsi"/>
          <w:color w:val="000000" w:themeColor="text1"/>
        </w:rPr>
        <w:t xml:space="preserve"> </w:t>
      </w:r>
    </w:p>
    <w:p w:rsidR="00206AA0" w:rsidP="00940121" w:rsidRDefault="0098069D" w14:paraId="78034207" w14:textId="41131C22">
      <w:pPr>
        <w:pStyle w:val="NormalWeb"/>
        <w:numPr>
          <w:ilvl w:val="0"/>
          <w:numId w:val="36"/>
        </w:numPr>
        <w:spacing w:before="0" w:beforeAutospacing="0" w:after="0" w:afterAutospacing="0"/>
        <w:ind w:left="567" w:hanging="283"/>
        <w:rPr>
          <w:rFonts w:asciiTheme="minorHAnsi" w:hAnsiTheme="minorHAnsi" w:cstheme="minorHAnsi"/>
          <w:color w:val="000000" w:themeColor="text1"/>
        </w:rPr>
      </w:pPr>
      <w:r w:rsidRPr="0098069D">
        <w:rPr>
          <w:rFonts w:asciiTheme="minorHAnsi" w:hAnsiTheme="minorHAnsi" w:cstheme="minorHAnsi"/>
          <w:color w:val="000000" w:themeColor="text1"/>
        </w:rPr>
        <w:t>White students are</w:t>
      </w:r>
      <w:r w:rsidR="00F557A8">
        <w:rPr>
          <w:rFonts w:asciiTheme="minorHAnsi" w:hAnsiTheme="minorHAnsi" w:cstheme="minorHAnsi"/>
          <w:color w:val="000000" w:themeColor="text1"/>
        </w:rPr>
        <w:t xml:space="preserve"> significantly </w:t>
      </w:r>
      <w:r w:rsidRPr="0098069D">
        <w:rPr>
          <w:rFonts w:asciiTheme="minorHAnsi" w:hAnsiTheme="minorHAnsi" w:cstheme="minorHAnsi"/>
          <w:color w:val="000000" w:themeColor="text1"/>
        </w:rPr>
        <w:t xml:space="preserve">more likely to </w:t>
      </w:r>
      <w:r w:rsidR="004C7643">
        <w:rPr>
          <w:rFonts w:asciiTheme="minorHAnsi" w:hAnsiTheme="minorHAnsi" w:cstheme="minorHAnsi"/>
          <w:color w:val="000000" w:themeColor="text1"/>
        </w:rPr>
        <w:t>be awarded</w:t>
      </w:r>
      <w:r w:rsidR="00D81230">
        <w:rPr>
          <w:rFonts w:asciiTheme="minorHAnsi" w:hAnsiTheme="minorHAnsi" w:cstheme="minorHAnsi"/>
          <w:color w:val="000000" w:themeColor="text1"/>
        </w:rPr>
        <w:t xml:space="preserve"> a good honours </w:t>
      </w:r>
      <w:r w:rsidRPr="0098069D" w:rsidR="00D81230">
        <w:rPr>
          <w:rFonts w:asciiTheme="minorHAnsi" w:hAnsiTheme="minorHAnsi" w:cstheme="minorHAnsi"/>
          <w:color w:val="000000" w:themeColor="text1"/>
        </w:rPr>
        <w:t xml:space="preserve">award </w:t>
      </w:r>
      <w:r w:rsidRPr="0098069D">
        <w:rPr>
          <w:rFonts w:asciiTheme="minorHAnsi" w:hAnsiTheme="minorHAnsi" w:cstheme="minorHAnsi"/>
          <w:color w:val="000000" w:themeColor="text1"/>
        </w:rPr>
        <w:t>than other ethnic groups</w:t>
      </w:r>
      <w:r w:rsidR="00B24539">
        <w:rPr>
          <w:rFonts w:asciiTheme="minorHAnsi" w:hAnsiTheme="minorHAnsi" w:cstheme="minorHAnsi"/>
          <w:color w:val="000000" w:themeColor="text1"/>
        </w:rPr>
        <w:t>.</w:t>
      </w:r>
    </w:p>
    <w:p w:rsidR="00206AA0" w:rsidP="00940121" w:rsidRDefault="0098069D" w14:paraId="425753C4" w14:textId="2B4B913A">
      <w:pPr>
        <w:pStyle w:val="NormalWeb"/>
        <w:numPr>
          <w:ilvl w:val="0"/>
          <w:numId w:val="36"/>
        </w:numPr>
        <w:spacing w:before="0" w:beforeAutospacing="0" w:after="0" w:afterAutospacing="0"/>
        <w:ind w:left="567" w:hanging="283"/>
        <w:rPr>
          <w:rFonts w:asciiTheme="minorHAnsi" w:hAnsiTheme="minorHAnsi" w:cstheme="minorHAnsi"/>
          <w:color w:val="000000" w:themeColor="text1"/>
        </w:rPr>
      </w:pPr>
      <w:r w:rsidRPr="0098069D">
        <w:rPr>
          <w:rFonts w:asciiTheme="minorHAnsi" w:hAnsiTheme="minorHAnsi" w:cstheme="minorHAnsi"/>
          <w:color w:val="000000" w:themeColor="text1"/>
        </w:rPr>
        <w:t xml:space="preserve">Female graduates are </w:t>
      </w:r>
      <w:r w:rsidR="00F557A8">
        <w:rPr>
          <w:rFonts w:asciiTheme="minorHAnsi" w:hAnsiTheme="minorHAnsi" w:cstheme="minorHAnsi"/>
          <w:color w:val="000000" w:themeColor="text1"/>
        </w:rPr>
        <w:t xml:space="preserve">significantly </w:t>
      </w:r>
      <w:r w:rsidRPr="0098069D">
        <w:rPr>
          <w:rFonts w:asciiTheme="minorHAnsi" w:hAnsiTheme="minorHAnsi" w:cstheme="minorHAnsi"/>
          <w:color w:val="000000" w:themeColor="text1"/>
        </w:rPr>
        <w:t xml:space="preserve">more likely to </w:t>
      </w:r>
      <w:r w:rsidR="00940121">
        <w:rPr>
          <w:rFonts w:asciiTheme="minorHAnsi" w:hAnsiTheme="minorHAnsi" w:cstheme="minorHAnsi"/>
          <w:color w:val="000000" w:themeColor="text1"/>
        </w:rPr>
        <w:t>be awarded</w:t>
      </w:r>
      <w:r w:rsidR="00206AA0">
        <w:rPr>
          <w:rFonts w:asciiTheme="minorHAnsi" w:hAnsiTheme="minorHAnsi" w:cstheme="minorHAnsi"/>
          <w:color w:val="000000" w:themeColor="text1"/>
        </w:rPr>
        <w:t xml:space="preserve"> a good honours </w:t>
      </w:r>
      <w:r w:rsidRPr="0098069D">
        <w:rPr>
          <w:rFonts w:asciiTheme="minorHAnsi" w:hAnsiTheme="minorHAnsi" w:cstheme="minorHAnsi"/>
          <w:color w:val="000000" w:themeColor="text1"/>
        </w:rPr>
        <w:t>award than mal</w:t>
      </w:r>
      <w:r w:rsidR="00E80B47">
        <w:rPr>
          <w:rFonts w:asciiTheme="minorHAnsi" w:hAnsiTheme="minorHAnsi" w:cstheme="minorHAnsi"/>
          <w:color w:val="000000" w:themeColor="text1"/>
        </w:rPr>
        <w:t>e</w:t>
      </w:r>
      <w:r w:rsidRPr="0098069D">
        <w:rPr>
          <w:rFonts w:asciiTheme="minorHAnsi" w:hAnsiTheme="minorHAnsi" w:cstheme="minorHAnsi"/>
          <w:color w:val="000000" w:themeColor="text1"/>
        </w:rPr>
        <w:t>s</w:t>
      </w:r>
      <w:r w:rsidR="004C7643">
        <w:rPr>
          <w:rFonts w:asciiTheme="minorHAnsi" w:hAnsiTheme="minorHAnsi" w:cstheme="minorHAnsi"/>
          <w:color w:val="000000" w:themeColor="text1"/>
        </w:rPr>
        <w:t>.</w:t>
      </w:r>
    </w:p>
    <w:p w:rsidR="00206AA0" w:rsidP="00940121" w:rsidRDefault="00206AA0" w14:paraId="6242ECC3" w14:textId="68EAFC62">
      <w:pPr>
        <w:pStyle w:val="NormalWeb"/>
        <w:numPr>
          <w:ilvl w:val="0"/>
          <w:numId w:val="36"/>
        </w:numPr>
        <w:spacing w:before="0" w:beforeAutospacing="0" w:after="0" w:afterAutospacing="0"/>
        <w:ind w:left="567" w:hanging="283"/>
        <w:rPr>
          <w:rFonts w:asciiTheme="minorHAnsi" w:hAnsiTheme="minorHAnsi" w:cstheme="minorHAnsi"/>
          <w:color w:val="000000" w:themeColor="text1"/>
        </w:rPr>
      </w:pPr>
      <w:r>
        <w:rPr>
          <w:rFonts w:asciiTheme="minorHAnsi" w:hAnsiTheme="minorHAnsi" w:cstheme="minorHAnsi"/>
          <w:color w:val="000000" w:themeColor="text1"/>
        </w:rPr>
        <w:t xml:space="preserve">Young students are </w:t>
      </w:r>
      <w:r w:rsidR="00F557A8">
        <w:rPr>
          <w:rFonts w:asciiTheme="minorHAnsi" w:hAnsiTheme="minorHAnsi" w:cstheme="minorHAnsi"/>
          <w:color w:val="000000" w:themeColor="text1"/>
        </w:rPr>
        <w:t xml:space="preserve">significantly </w:t>
      </w:r>
      <w:r>
        <w:rPr>
          <w:rFonts w:asciiTheme="minorHAnsi" w:hAnsiTheme="minorHAnsi" w:cstheme="minorHAnsi"/>
          <w:color w:val="000000" w:themeColor="text1"/>
        </w:rPr>
        <w:t xml:space="preserve">more likely to </w:t>
      </w:r>
      <w:r w:rsidR="00940121">
        <w:rPr>
          <w:rFonts w:asciiTheme="minorHAnsi" w:hAnsiTheme="minorHAnsi" w:cstheme="minorHAnsi"/>
          <w:color w:val="000000" w:themeColor="text1"/>
        </w:rPr>
        <w:t xml:space="preserve">be awarded </w:t>
      </w:r>
      <w:r>
        <w:rPr>
          <w:rFonts w:asciiTheme="minorHAnsi" w:hAnsiTheme="minorHAnsi" w:cstheme="minorHAnsi"/>
          <w:color w:val="000000" w:themeColor="text1"/>
        </w:rPr>
        <w:t>good honours than mature students.</w:t>
      </w:r>
    </w:p>
    <w:p w:rsidRPr="005B711D" w:rsidR="00AB5852" w:rsidP="00940121" w:rsidRDefault="00AB5852" w14:paraId="23127C6C" w14:textId="74BEDB3F">
      <w:pPr>
        <w:pStyle w:val="NormalWeb"/>
        <w:numPr>
          <w:ilvl w:val="0"/>
          <w:numId w:val="36"/>
        </w:numPr>
        <w:spacing w:before="0" w:beforeAutospacing="0" w:after="0" w:afterAutospacing="0"/>
        <w:ind w:left="567" w:hanging="283"/>
      </w:pPr>
      <w:r>
        <w:t xml:space="preserve">Students from Polar quintiles 1 &amp; 2 (the neighbourhoods where the proportion of young people entering higher education is lowest) </w:t>
      </w:r>
      <w:r w:rsidR="005B711D">
        <w:t xml:space="preserve">are significantly more likely to </w:t>
      </w:r>
      <w:r w:rsidR="004C7643">
        <w:t>be awarded</w:t>
      </w:r>
      <w:r w:rsidR="005B711D">
        <w:t xml:space="preserve"> a good honours award than students from more</w:t>
      </w:r>
      <w:r>
        <w:t xml:space="preserve"> privileged neighbourhoods.</w:t>
      </w:r>
    </w:p>
    <w:p w:rsidR="006A4B02" w:rsidP="00206AA0" w:rsidRDefault="006A4B02" w14:paraId="6B92D7E0" w14:textId="77777777">
      <w:pPr>
        <w:pStyle w:val="NormalWeb"/>
        <w:spacing w:before="0" w:beforeAutospacing="0" w:after="0" w:afterAutospacing="0"/>
        <w:rPr>
          <w:rFonts w:asciiTheme="minorHAnsi" w:hAnsiTheme="minorHAnsi" w:cstheme="minorHAnsi"/>
          <w:color w:val="000000" w:themeColor="text1"/>
        </w:rPr>
      </w:pPr>
    </w:p>
    <w:p w:rsidR="00427276" w:rsidP="00206AA0" w:rsidRDefault="00206AA0" w14:paraId="22E92C0E" w14:textId="474CE24F">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These </w:t>
      </w:r>
      <w:r w:rsidR="005B711D">
        <w:rPr>
          <w:rFonts w:asciiTheme="minorHAnsi" w:hAnsiTheme="minorHAnsi" w:cstheme="minorHAnsi"/>
          <w:color w:val="000000" w:themeColor="text1"/>
        </w:rPr>
        <w:t xml:space="preserve">demographic </w:t>
      </w:r>
      <w:r>
        <w:rPr>
          <w:rFonts w:asciiTheme="minorHAnsi" w:hAnsiTheme="minorHAnsi" w:cstheme="minorHAnsi"/>
          <w:color w:val="000000" w:themeColor="text1"/>
        </w:rPr>
        <w:t>differences are consistent with sector outcomes</w:t>
      </w:r>
      <w:r w:rsidR="005B711D">
        <w:rPr>
          <w:rFonts w:asciiTheme="minorHAnsi" w:hAnsiTheme="minorHAnsi" w:cstheme="minorHAnsi"/>
          <w:color w:val="000000" w:themeColor="text1"/>
        </w:rPr>
        <w:t xml:space="preserve"> apart from the performance of students from low participation neighbourhoods, a result of which the University is particularly proud. </w:t>
      </w:r>
    </w:p>
    <w:p w:rsidR="00837AC9" w:rsidP="00CE4CF1" w:rsidRDefault="00837AC9" w14:paraId="3A42621E" w14:textId="43EA6B14">
      <w:pPr>
        <w:pStyle w:val="NormalWeb"/>
        <w:spacing w:before="0" w:beforeAutospacing="0" w:after="0" w:afterAutospacing="0"/>
        <w:rPr>
          <w:rFonts w:asciiTheme="minorHAnsi" w:hAnsiTheme="minorHAnsi" w:cstheme="minorHAnsi"/>
          <w:color w:val="000000" w:themeColor="text1"/>
        </w:rPr>
      </w:pPr>
    </w:p>
    <w:tbl>
      <w:tblPr>
        <w:tblStyle w:val="GridTable5Dark-Accent5"/>
        <w:tblW w:w="0" w:type="auto"/>
        <w:tblLook w:val="04A0" w:firstRow="1" w:lastRow="0" w:firstColumn="1" w:lastColumn="0" w:noHBand="0" w:noVBand="1"/>
      </w:tblPr>
      <w:tblGrid>
        <w:gridCol w:w="1144"/>
        <w:gridCol w:w="1485"/>
        <w:gridCol w:w="1075"/>
        <w:gridCol w:w="1075"/>
        <w:gridCol w:w="1075"/>
        <w:gridCol w:w="1063"/>
        <w:gridCol w:w="1063"/>
        <w:gridCol w:w="1036"/>
      </w:tblGrid>
      <w:tr w:rsidR="006F061F" w:rsidTr="005D0A2D" w14:paraId="75CA96D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28D83BDF" w14:textId="5DD1D5CA">
            <w:bookmarkStart w:name="_Hlk119396115" w:id="2"/>
            <w:r w:rsidRPr="006F061F">
              <w:rPr>
                <w:rFonts w:asciiTheme="minorHAnsi" w:hAnsiTheme="minorHAnsi" w:cstheme="minorHAnsi"/>
              </w:rPr>
              <w:br w:type="page"/>
            </w:r>
            <w:r w:rsidRPr="006F061F">
              <w:rPr>
                <w:rFonts w:asciiTheme="minorHAnsi" w:hAnsiTheme="minorHAnsi" w:cstheme="minorHAnsi"/>
              </w:rPr>
              <w:br w:type="page"/>
            </w:r>
          </w:p>
        </w:tc>
        <w:tc>
          <w:tcPr>
            <w:tcW w:w="1485" w:type="dxa"/>
          </w:tcPr>
          <w:p w:rsidRPr="006F061F" w:rsidR="00140024" w:rsidP="007B74A2" w:rsidRDefault="00140024" w14:paraId="0A7DB175" w14:textId="77777777">
            <w:pPr>
              <w:cnfStyle w:val="100000000000" w:firstRow="1" w:lastRow="0" w:firstColumn="0" w:lastColumn="0" w:oddVBand="0" w:evenVBand="0" w:oddHBand="0" w:evenHBand="0" w:firstRowFirstColumn="0" w:firstRowLastColumn="0" w:lastRowFirstColumn="0" w:lastRowLastColumn="0"/>
            </w:pPr>
          </w:p>
        </w:tc>
        <w:tc>
          <w:tcPr>
            <w:tcW w:w="1075" w:type="dxa"/>
          </w:tcPr>
          <w:p w:rsidRPr="006F061F" w:rsidR="00140024" w:rsidP="007B74A2" w:rsidRDefault="00140024" w14:paraId="130D8802" w14:textId="77777777">
            <w:pPr>
              <w:cnfStyle w:val="100000000000" w:firstRow="1" w:lastRow="0" w:firstColumn="0" w:lastColumn="0" w:oddVBand="0" w:evenVBand="0" w:oddHBand="0" w:evenHBand="0" w:firstRowFirstColumn="0" w:firstRowLastColumn="0" w:lastRowFirstColumn="0" w:lastRowLastColumn="0"/>
            </w:pPr>
            <w:r w:rsidRPr="006F061F">
              <w:t>2016/17</w:t>
            </w:r>
          </w:p>
        </w:tc>
        <w:tc>
          <w:tcPr>
            <w:tcW w:w="1075" w:type="dxa"/>
          </w:tcPr>
          <w:p w:rsidRPr="006F061F" w:rsidR="00140024" w:rsidP="007B74A2" w:rsidRDefault="00140024" w14:paraId="0927788A" w14:textId="77777777">
            <w:pPr>
              <w:cnfStyle w:val="100000000000" w:firstRow="1" w:lastRow="0" w:firstColumn="0" w:lastColumn="0" w:oddVBand="0" w:evenVBand="0" w:oddHBand="0" w:evenHBand="0" w:firstRowFirstColumn="0" w:firstRowLastColumn="0" w:lastRowFirstColumn="0" w:lastRowLastColumn="0"/>
            </w:pPr>
            <w:r w:rsidRPr="006F061F">
              <w:t>2017/18</w:t>
            </w:r>
          </w:p>
        </w:tc>
        <w:tc>
          <w:tcPr>
            <w:tcW w:w="1075" w:type="dxa"/>
          </w:tcPr>
          <w:p w:rsidRPr="006F061F" w:rsidR="00140024" w:rsidP="007B74A2" w:rsidRDefault="00140024" w14:paraId="4A48085E" w14:textId="77777777">
            <w:pPr>
              <w:cnfStyle w:val="100000000000" w:firstRow="1" w:lastRow="0" w:firstColumn="0" w:lastColumn="0" w:oddVBand="0" w:evenVBand="0" w:oddHBand="0" w:evenHBand="0" w:firstRowFirstColumn="0" w:firstRowLastColumn="0" w:lastRowFirstColumn="0" w:lastRowLastColumn="0"/>
            </w:pPr>
            <w:r w:rsidRPr="006F061F">
              <w:t>2018/19</w:t>
            </w:r>
          </w:p>
        </w:tc>
        <w:tc>
          <w:tcPr>
            <w:tcW w:w="1063" w:type="dxa"/>
          </w:tcPr>
          <w:p w:rsidRPr="006F061F" w:rsidR="00140024" w:rsidP="007B74A2" w:rsidRDefault="00140024" w14:paraId="4875EDDE" w14:textId="77777777">
            <w:pPr>
              <w:cnfStyle w:val="100000000000" w:firstRow="1" w:lastRow="0" w:firstColumn="0" w:lastColumn="0" w:oddVBand="0" w:evenVBand="0" w:oddHBand="0" w:evenHBand="0" w:firstRowFirstColumn="0" w:firstRowLastColumn="0" w:lastRowFirstColumn="0" w:lastRowLastColumn="0"/>
            </w:pPr>
            <w:r w:rsidRPr="006F061F">
              <w:t>2019/20</w:t>
            </w:r>
          </w:p>
        </w:tc>
        <w:tc>
          <w:tcPr>
            <w:tcW w:w="1063" w:type="dxa"/>
          </w:tcPr>
          <w:p w:rsidRPr="006F061F" w:rsidR="00140024" w:rsidP="007B74A2" w:rsidRDefault="00140024" w14:paraId="6F3330D1" w14:textId="77777777">
            <w:pPr>
              <w:cnfStyle w:val="100000000000" w:firstRow="1" w:lastRow="0" w:firstColumn="0" w:lastColumn="0" w:oddVBand="0" w:evenVBand="0" w:oddHBand="0" w:evenHBand="0" w:firstRowFirstColumn="0" w:firstRowLastColumn="0" w:lastRowFirstColumn="0" w:lastRowLastColumn="0"/>
            </w:pPr>
            <w:r w:rsidRPr="006F061F">
              <w:t>2020/21</w:t>
            </w:r>
          </w:p>
        </w:tc>
        <w:tc>
          <w:tcPr>
            <w:tcW w:w="1036" w:type="dxa"/>
          </w:tcPr>
          <w:p w:rsidRPr="006F061F" w:rsidR="00140024" w:rsidP="007B74A2" w:rsidRDefault="00F557A8" w14:paraId="19E4B398" w14:textId="5323784B">
            <w:pPr>
              <w:cnfStyle w:val="100000000000" w:firstRow="1" w:lastRow="0" w:firstColumn="0" w:lastColumn="0" w:oddVBand="0" w:evenVBand="0" w:oddHBand="0" w:evenHBand="0" w:firstRowFirstColumn="0" w:firstRowLastColumn="0" w:lastRowFirstColumn="0" w:lastRowLastColumn="0"/>
            </w:pPr>
            <w:r w:rsidRPr="006F061F">
              <w:t>5 year mean</w:t>
            </w:r>
          </w:p>
        </w:tc>
      </w:tr>
      <w:tr w:rsidR="006F061F" w:rsidTr="005D0A2D" w14:paraId="645B56C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7808F6DD" w14:textId="77777777">
            <w:r w:rsidRPr="006F061F">
              <w:t>Ethnicity</w:t>
            </w:r>
          </w:p>
        </w:tc>
        <w:tc>
          <w:tcPr>
            <w:tcW w:w="1485" w:type="dxa"/>
            <w:shd w:val="clear" w:color="auto" w:fill="5B9BD5" w:themeFill="accent5"/>
          </w:tcPr>
          <w:p w:rsidRPr="006F061F" w:rsidR="00140024" w:rsidP="007B74A2" w:rsidRDefault="00140024" w14:paraId="0AF370CD" w14:textId="77777777">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6F061F">
              <w:rPr>
                <w:color w:val="FFFFFF" w:themeColor="background1"/>
              </w:rPr>
              <w:t>White</w:t>
            </w:r>
          </w:p>
        </w:tc>
        <w:tc>
          <w:tcPr>
            <w:tcW w:w="1075" w:type="dxa"/>
            <w:shd w:val="clear" w:color="auto" w:fill="DEEAF6" w:themeFill="accent5" w:themeFillTint="33"/>
          </w:tcPr>
          <w:p w:rsidR="00140024" w:rsidP="007B74A2" w:rsidRDefault="00140024" w14:paraId="383B2D55" w14:textId="0B838A89">
            <w:pPr>
              <w:cnfStyle w:val="000000100000" w:firstRow="0" w:lastRow="0" w:firstColumn="0" w:lastColumn="0" w:oddVBand="0" w:evenVBand="0" w:oddHBand="1" w:evenHBand="0" w:firstRowFirstColumn="0" w:firstRowLastColumn="0" w:lastRowFirstColumn="0" w:lastRowLastColumn="0"/>
            </w:pPr>
            <w:r>
              <w:t>76.9%</w:t>
            </w:r>
          </w:p>
        </w:tc>
        <w:tc>
          <w:tcPr>
            <w:tcW w:w="1075" w:type="dxa"/>
            <w:shd w:val="clear" w:color="auto" w:fill="DEEAF6" w:themeFill="accent5" w:themeFillTint="33"/>
          </w:tcPr>
          <w:p w:rsidR="00140024" w:rsidP="007B74A2" w:rsidRDefault="00140024" w14:paraId="5146ECF2" w14:textId="1AD37476">
            <w:pPr>
              <w:cnfStyle w:val="000000100000" w:firstRow="0" w:lastRow="0" w:firstColumn="0" w:lastColumn="0" w:oddVBand="0" w:evenVBand="0" w:oddHBand="1" w:evenHBand="0" w:firstRowFirstColumn="0" w:firstRowLastColumn="0" w:lastRowFirstColumn="0" w:lastRowLastColumn="0"/>
            </w:pPr>
            <w:r>
              <w:t>78.7%</w:t>
            </w:r>
          </w:p>
        </w:tc>
        <w:tc>
          <w:tcPr>
            <w:tcW w:w="1075" w:type="dxa"/>
            <w:shd w:val="clear" w:color="auto" w:fill="DEEAF6" w:themeFill="accent5" w:themeFillTint="33"/>
          </w:tcPr>
          <w:p w:rsidR="00140024" w:rsidP="007B74A2" w:rsidRDefault="00140024" w14:paraId="28FCDC4D" w14:textId="7B19161A">
            <w:pPr>
              <w:cnfStyle w:val="000000100000" w:firstRow="0" w:lastRow="0" w:firstColumn="0" w:lastColumn="0" w:oddVBand="0" w:evenVBand="0" w:oddHBand="1" w:evenHBand="0" w:firstRowFirstColumn="0" w:firstRowLastColumn="0" w:lastRowFirstColumn="0" w:lastRowLastColumn="0"/>
            </w:pPr>
            <w:r>
              <w:t>77.6%</w:t>
            </w:r>
          </w:p>
        </w:tc>
        <w:tc>
          <w:tcPr>
            <w:tcW w:w="1063" w:type="dxa"/>
            <w:shd w:val="clear" w:color="auto" w:fill="DEEAF6" w:themeFill="accent5" w:themeFillTint="33"/>
          </w:tcPr>
          <w:p w:rsidR="00140024" w:rsidP="007B74A2" w:rsidRDefault="00140024" w14:paraId="079C4E64" w14:textId="57635F60">
            <w:pPr>
              <w:cnfStyle w:val="000000100000" w:firstRow="0" w:lastRow="0" w:firstColumn="0" w:lastColumn="0" w:oddVBand="0" w:evenVBand="0" w:oddHBand="1" w:evenHBand="0" w:firstRowFirstColumn="0" w:firstRowLastColumn="0" w:lastRowFirstColumn="0" w:lastRowLastColumn="0"/>
            </w:pPr>
            <w:r>
              <w:t>84.3%</w:t>
            </w:r>
          </w:p>
        </w:tc>
        <w:tc>
          <w:tcPr>
            <w:tcW w:w="1063" w:type="dxa"/>
            <w:shd w:val="clear" w:color="auto" w:fill="DEEAF6" w:themeFill="accent5" w:themeFillTint="33"/>
          </w:tcPr>
          <w:p w:rsidR="00140024" w:rsidP="007B74A2" w:rsidRDefault="00140024" w14:paraId="127812B2" w14:textId="08A56E6E">
            <w:pPr>
              <w:cnfStyle w:val="000000100000" w:firstRow="0" w:lastRow="0" w:firstColumn="0" w:lastColumn="0" w:oddVBand="0" w:evenVBand="0" w:oddHBand="1" w:evenHBand="0" w:firstRowFirstColumn="0" w:firstRowLastColumn="0" w:lastRowFirstColumn="0" w:lastRowLastColumn="0"/>
            </w:pPr>
            <w:r>
              <w:t>85.3%</w:t>
            </w:r>
          </w:p>
        </w:tc>
        <w:tc>
          <w:tcPr>
            <w:tcW w:w="1036" w:type="dxa"/>
            <w:shd w:val="clear" w:color="auto" w:fill="DEEAF6" w:themeFill="accent5" w:themeFillTint="33"/>
          </w:tcPr>
          <w:p w:rsidR="00140024" w:rsidP="007B74A2" w:rsidRDefault="00140024" w14:paraId="2371EB44" w14:textId="158EEBA6">
            <w:pPr>
              <w:cnfStyle w:val="000000100000" w:firstRow="0" w:lastRow="0" w:firstColumn="0" w:lastColumn="0" w:oddVBand="0" w:evenVBand="0" w:oddHBand="1" w:evenHBand="0" w:firstRowFirstColumn="0" w:firstRowLastColumn="0" w:lastRowFirstColumn="0" w:lastRowLastColumn="0"/>
            </w:pPr>
            <w:r>
              <w:t>80.6%</w:t>
            </w:r>
          </w:p>
        </w:tc>
      </w:tr>
      <w:tr w:rsidR="006F061F" w:rsidTr="005D0A2D" w14:paraId="1B9F8E37" w14:textId="77777777">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1F1E2B80" w14:textId="77777777"/>
        </w:tc>
        <w:tc>
          <w:tcPr>
            <w:tcW w:w="1485" w:type="dxa"/>
            <w:shd w:val="clear" w:color="auto" w:fill="5B9BD5" w:themeFill="accent5"/>
          </w:tcPr>
          <w:p w:rsidRPr="006F061F" w:rsidR="00140024" w:rsidP="007B74A2" w:rsidRDefault="00140024" w14:paraId="6377A158" w14:textId="3DCB122F">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6F061F">
              <w:rPr>
                <w:color w:val="FFFFFF" w:themeColor="background1"/>
              </w:rPr>
              <w:t>Non-white</w:t>
            </w:r>
            <w:r w:rsidR="00D136FB">
              <w:rPr>
                <w:rStyle w:val="FootnoteReference"/>
                <w:color w:val="FFFFFF" w:themeColor="background1"/>
              </w:rPr>
              <w:footnoteReference w:id="2"/>
            </w:r>
          </w:p>
        </w:tc>
        <w:tc>
          <w:tcPr>
            <w:tcW w:w="1075" w:type="dxa"/>
          </w:tcPr>
          <w:p w:rsidR="00140024" w:rsidP="007B74A2" w:rsidRDefault="00140024" w14:paraId="7F75909F" w14:textId="7FF4C3FF">
            <w:pPr>
              <w:cnfStyle w:val="000000000000" w:firstRow="0" w:lastRow="0" w:firstColumn="0" w:lastColumn="0" w:oddVBand="0" w:evenVBand="0" w:oddHBand="0" w:evenHBand="0" w:firstRowFirstColumn="0" w:firstRowLastColumn="0" w:lastRowFirstColumn="0" w:lastRowLastColumn="0"/>
            </w:pPr>
            <w:r>
              <w:t>62.7%</w:t>
            </w:r>
          </w:p>
        </w:tc>
        <w:tc>
          <w:tcPr>
            <w:tcW w:w="1075" w:type="dxa"/>
          </w:tcPr>
          <w:p w:rsidR="00140024" w:rsidP="007B74A2" w:rsidRDefault="00140024" w14:paraId="5C3A13EE" w14:textId="3D27A36A">
            <w:pPr>
              <w:cnfStyle w:val="000000000000" w:firstRow="0" w:lastRow="0" w:firstColumn="0" w:lastColumn="0" w:oddVBand="0" w:evenVBand="0" w:oddHBand="0" w:evenHBand="0" w:firstRowFirstColumn="0" w:firstRowLastColumn="0" w:lastRowFirstColumn="0" w:lastRowLastColumn="0"/>
            </w:pPr>
            <w:r>
              <w:t>68.2%</w:t>
            </w:r>
          </w:p>
        </w:tc>
        <w:tc>
          <w:tcPr>
            <w:tcW w:w="1075" w:type="dxa"/>
          </w:tcPr>
          <w:p w:rsidR="00140024" w:rsidP="007B74A2" w:rsidRDefault="00140024" w14:paraId="3B1B6827" w14:textId="0C71D351">
            <w:pPr>
              <w:cnfStyle w:val="000000000000" w:firstRow="0" w:lastRow="0" w:firstColumn="0" w:lastColumn="0" w:oddVBand="0" w:evenVBand="0" w:oddHBand="0" w:evenHBand="0" w:firstRowFirstColumn="0" w:firstRowLastColumn="0" w:lastRowFirstColumn="0" w:lastRowLastColumn="0"/>
            </w:pPr>
            <w:r>
              <w:t>65.4%</w:t>
            </w:r>
          </w:p>
        </w:tc>
        <w:tc>
          <w:tcPr>
            <w:tcW w:w="1063" w:type="dxa"/>
          </w:tcPr>
          <w:p w:rsidR="00140024" w:rsidP="007B74A2" w:rsidRDefault="00140024" w14:paraId="25778014" w14:textId="1A4ED55F">
            <w:pPr>
              <w:cnfStyle w:val="000000000000" w:firstRow="0" w:lastRow="0" w:firstColumn="0" w:lastColumn="0" w:oddVBand="0" w:evenVBand="0" w:oddHBand="0" w:evenHBand="0" w:firstRowFirstColumn="0" w:firstRowLastColumn="0" w:lastRowFirstColumn="0" w:lastRowLastColumn="0"/>
            </w:pPr>
            <w:r>
              <w:t>77.2%</w:t>
            </w:r>
          </w:p>
        </w:tc>
        <w:tc>
          <w:tcPr>
            <w:tcW w:w="1063" w:type="dxa"/>
          </w:tcPr>
          <w:p w:rsidR="00140024" w:rsidP="007B74A2" w:rsidRDefault="00140024" w14:paraId="747945EC" w14:textId="4D8A1CAB">
            <w:pPr>
              <w:cnfStyle w:val="000000000000" w:firstRow="0" w:lastRow="0" w:firstColumn="0" w:lastColumn="0" w:oddVBand="0" w:evenVBand="0" w:oddHBand="0" w:evenHBand="0" w:firstRowFirstColumn="0" w:firstRowLastColumn="0" w:lastRowFirstColumn="0" w:lastRowLastColumn="0"/>
            </w:pPr>
            <w:r>
              <w:t>72.4%</w:t>
            </w:r>
          </w:p>
        </w:tc>
        <w:tc>
          <w:tcPr>
            <w:tcW w:w="1036" w:type="dxa"/>
          </w:tcPr>
          <w:p w:rsidR="00140024" w:rsidP="007B74A2" w:rsidRDefault="00140024" w14:paraId="6B7C5396" w14:textId="26F30836">
            <w:pPr>
              <w:cnfStyle w:val="000000000000" w:firstRow="0" w:lastRow="0" w:firstColumn="0" w:lastColumn="0" w:oddVBand="0" w:evenVBand="0" w:oddHBand="0" w:evenHBand="0" w:firstRowFirstColumn="0" w:firstRowLastColumn="0" w:lastRowFirstColumn="0" w:lastRowLastColumn="0"/>
            </w:pPr>
            <w:r>
              <w:t>69.2%</w:t>
            </w:r>
          </w:p>
        </w:tc>
      </w:tr>
      <w:tr w:rsidR="006F061F" w:rsidTr="005D0A2D" w14:paraId="42BF75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531F9D09" w14:textId="77777777"/>
        </w:tc>
        <w:tc>
          <w:tcPr>
            <w:tcW w:w="1485" w:type="dxa"/>
            <w:shd w:val="clear" w:color="auto" w:fill="5B9BD5" w:themeFill="accent5"/>
          </w:tcPr>
          <w:p w:rsidRPr="006F061F" w:rsidR="00140024" w:rsidP="007B74A2" w:rsidRDefault="00140024" w14:paraId="7ED83FED" w14:textId="77777777">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075" w:type="dxa"/>
          </w:tcPr>
          <w:p w:rsidR="00140024" w:rsidP="007B74A2" w:rsidRDefault="00140024" w14:paraId="4919693F" w14:textId="77777777">
            <w:pPr>
              <w:cnfStyle w:val="000000100000" w:firstRow="0" w:lastRow="0" w:firstColumn="0" w:lastColumn="0" w:oddVBand="0" w:evenVBand="0" w:oddHBand="1" w:evenHBand="0" w:firstRowFirstColumn="0" w:firstRowLastColumn="0" w:lastRowFirstColumn="0" w:lastRowLastColumn="0"/>
            </w:pPr>
          </w:p>
        </w:tc>
        <w:tc>
          <w:tcPr>
            <w:tcW w:w="1075" w:type="dxa"/>
          </w:tcPr>
          <w:p w:rsidR="00140024" w:rsidP="007B74A2" w:rsidRDefault="00140024" w14:paraId="6EE7835B" w14:textId="77777777">
            <w:pPr>
              <w:cnfStyle w:val="000000100000" w:firstRow="0" w:lastRow="0" w:firstColumn="0" w:lastColumn="0" w:oddVBand="0" w:evenVBand="0" w:oddHBand="1" w:evenHBand="0" w:firstRowFirstColumn="0" w:firstRowLastColumn="0" w:lastRowFirstColumn="0" w:lastRowLastColumn="0"/>
            </w:pPr>
          </w:p>
        </w:tc>
        <w:tc>
          <w:tcPr>
            <w:tcW w:w="1075" w:type="dxa"/>
          </w:tcPr>
          <w:p w:rsidR="00140024" w:rsidP="007B74A2" w:rsidRDefault="00140024" w14:paraId="42A7225C" w14:textId="77777777">
            <w:pPr>
              <w:cnfStyle w:val="000000100000" w:firstRow="0" w:lastRow="0" w:firstColumn="0" w:lastColumn="0" w:oddVBand="0" w:evenVBand="0" w:oddHBand="1" w:evenHBand="0" w:firstRowFirstColumn="0" w:firstRowLastColumn="0" w:lastRowFirstColumn="0" w:lastRowLastColumn="0"/>
            </w:pPr>
          </w:p>
        </w:tc>
        <w:tc>
          <w:tcPr>
            <w:tcW w:w="1063" w:type="dxa"/>
          </w:tcPr>
          <w:p w:rsidR="00140024" w:rsidP="007B74A2" w:rsidRDefault="00140024" w14:paraId="20DDF745" w14:textId="77777777">
            <w:pPr>
              <w:cnfStyle w:val="000000100000" w:firstRow="0" w:lastRow="0" w:firstColumn="0" w:lastColumn="0" w:oddVBand="0" w:evenVBand="0" w:oddHBand="1" w:evenHBand="0" w:firstRowFirstColumn="0" w:firstRowLastColumn="0" w:lastRowFirstColumn="0" w:lastRowLastColumn="0"/>
            </w:pPr>
          </w:p>
        </w:tc>
        <w:tc>
          <w:tcPr>
            <w:tcW w:w="1063" w:type="dxa"/>
          </w:tcPr>
          <w:p w:rsidR="00140024" w:rsidP="007B74A2" w:rsidRDefault="00140024" w14:paraId="7E63CF5B" w14:textId="77777777">
            <w:pPr>
              <w:cnfStyle w:val="000000100000" w:firstRow="0" w:lastRow="0" w:firstColumn="0" w:lastColumn="0" w:oddVBand="0" w:evenVBand="0" w:oddHBand="1" w:evenHBand="0" w:firstRowFirstColumn="0" w:firstRowLastColumn="0" w:lastRowFirstColumn="0" w:lastRowLastColumn="0"/>
            </w:pPr>
          </w:p>
        </w:tc>
        <w:tc>
          <w:tcPr>
            <w:tcW w:w="1036" w:type="dxa"/>
          </w:tcPr>
          <w:p w:rsidR="00140024" w:rsidP="007B74A2" w:rsidRDefault="00140024" w14:paraId="5616C63A" w14:textId="77777777">
            <w:pPr>
              <w:cnfStyle w:val="000000100000" w:firstRow="0" w:lastRow="0" w:firstColumn="0" w:lastColumn="0" w:oddVBand="0" w:evenVBand="0" w:oddHBand="1" w:evenHBand="0" w:firstRowFirstColumn="0" w:firstRowLastColumn="0" w:lastRowFirstColumn="0" w:lastRowLastColumn="0"/>
            </w:pPr>
          </w:p>
        </w:tc>
      </w:tr>
      <w:tr w:rsidR="006F061F" w:rsidTr="005D0A2D" w14:paraId="551A2A7A" w14:textId="77777777">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461599BF" w14:textId="77777777">
            <w:r w:rsidRPr="006F061F">
              <w:t>Gender</w:t>
            </w:r>
          </w:p>
        </w:tc>
        <w:tc>
          <w:tcPr>
            <w:tcW w:w="1485" w:type="dxa"/>
            <w:shd w:val="clear" w:color="auto" w:fill="5B9BD5" w:themeFill="accent5"/>
          </w:tcPr>
          <w:p w:rsidRPr="006F061F" w:rsidR="00140024" w:rsidP="007B74A2" w:rsidRDefault="00140024" w14:paraId="45B82168" w14:textId="77777777">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6F061F">
              <w:rPr>
                <w:color w:val="FFFFFF" w:themeColor="background1"/>
              </w:rPr>
              <w:t>Female</w:t>
            </w:r>
          </w:p>
        </w:tc>
        <w:tc>
          <w:tcPr>
            <w:tcW w:w="1075" w:type="dxa"/>
          </w:tcPr>
          <w:p w:rsidR="00140024" w:rsidP="007B74A2" w:rsidRDefault="00140024" w14:paraId="43E677A3" w14:textId="3E0BC777">
            <w:pPr>
              <w:cnfStyle w:val="000000000000" w:firstRow="0" w:lastRow="0" w:firstColumn="0" w:lastColumn="0" w:oddVBand="0" w:evenVBand="0" w:oddHBand="0" w:evenHBand="0" w:firstRowFirstColumn="0" w:firstRowLastColumn="0" w:lastRowFirstColumn="0" w:lastRowLastColumn="0"/>
            </w:pPr>
            <w:r>
              <w:t>74.8%</w:t>
            </w:r>
          </w:p>
        </w:tc>
        <w:tc>
          <w:tcPr>
            <w:tcW w:w="1075" w:type="dxa"/>
          </w:tcPr>
          <w:p w:rsidR="00140024" w:rsidP="007B74A2" w:rsidRDefault="00140024" w14:paraId="7B886E6B" w14:textId="34B4FD77">
            <w:pPr>
              <w:cnfStyle w:val="000000000000" w:firstRow="0" w:lastRow="0" w:firstColumn="0" w:lastColumn="0" w:oddVBand="0" w:evenVBand="0" w:oddHBand="0" w:evenHBand="0" w:firstRowFirstColumn="0" w:firstRowLastColumn="0" w:lastRowFirstColumn="0" w:lastRowLastColumn="0"/>
            </w:pPr>
            <w:r>
              <w:t>78.7%</w:t>
            </w:r>
          </w:p>
        </w:tc>
        <w:tc>
          <w:tcPr>
            <w:tcW w:w="1075" w:type="dxa"/>
          </w:tcPr>
          <w:p w:rsidR="00140024" w:rsidP="007B74A2" w:rsidRDefault="00140024" w14:paraId="3C0106A4" w14:textId="05C48540">
            <w:pPr>
              <w:cnfStyle w:val="000000000000" w:firstRow="0" w:lastRow="0" w:firstColumn="0" w:lastColumn="0" w:oddVBand="0" w:evenVBand="0" w:oddHBand="0" w:evenHBand="0" w:firstRowFirstColumn="0" w:firstRowLastColumn="0" w:lastRowFirstColumn="0" w:lastRowLastColumn="0"/>
            </w:pPr>
            <w:r>
              <w:t>77.2%</w:t>
            </w:r>
          </w:p>
        </w:tc>
        <w:tc>
          <w:tcPr>
            <w:tcW w:w="1063" w:type="dxa"/>
          </w:tcPr>
          <w:p w:rsidR="00140024" w:rsidP="007B74A2" w:rsidRDefault="00140024" w14:paraId="0E68A084" w14:textId="5D5C5BC7">
            <w:pPr>
              <w:cnfStyle w:val="000000000000" w:firstRow="0" w:lastRow="0" w:firstColumn="0" w:lastColumn="0" w:oddVBand="0" w:evenVBand="0" w:oddHBand="0" w:evenHBand="0" w:firstRowFirstColumn="0" w:firstRowLastColumn="0" w:lastRowFirstColumn="0" w:lastRowLastColumn="0"/>
            </w:pPr>
            <w:r>
              <w:t>85.6%</w:t>
            </w:r>
          </w:p>
        </w:tc>
        <w:tc>
          <w:tcPr>
            <w:tcW w:w="1063" w:type="dxa"/>
          </w:tcPr>
          <w:p w:rsidR="00140024" w:rsidP="007B74A2" w:rsidRDefault="00140024" w14:paraId="5EE2A0BF" w14:textId="467ABA7E">
            <w:pPr>
              <w:cnfStyle w:val="000000000000" w:firstRow="0" w:lastRow="0" w:firstColumn="0" w:lastColumn="0" w:oddVBand="0" w:evenVBand="0" w:oddHBand="0" w:evenHBand="0" w:firstRowFirstColumn="0" w:firstRowLastColumn="0" w:lastRowFirstColumn="0" w:lastRowLastColumn="0"/>
            </w:pPr>
            <w:r>
              <w:t>86.2%</w:t>
            </w:r>
          </w:p>
        </w:tc>
        <w:tc>
          <w:tcPr>
            <w:tcW w:w="1036" w:type="dxa"/>
          </w:tcPr>
          <w:p w:rsidR="00140024" w:rsidP="007B74A2" w:rsidRDefault="00140024" w14:paraId="373DB374" w14:textId="548ECF57">
            <w:pPr>
              <w:cnfStyle w:val="000000000000" w:firstRow="0" w:lastRow="0" w:firstColumn="0" w:lastColumn="0" w:oddVBand="0" w:evenVBand="0" w:oddHBand="0" w:evenHBand="0" w:firstRowFirstColumn="0" w:firstRowLastColumn="0" w:lastRowFirstColumn="0" w:lastRowLastColumn="0"/>
            </w:pPr>
            <w:r>
              <w:t>80.5%</w:t>
            </w:r>
          </w:p>
        </w:tc>
      </w:tr>
      <w:tr w:rsidR="006F061F" w:rsidTr="005D0A2D" w14:paraId="05FCE1C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67DC7325" w14:textId="77777777"/>
        </w:tc>
        <w:tc>
          <w:tcPr>
            <w:tcW w:w="1485" w:type="dxa"/>
            <w:shd w:val="clear" w:color="auto" w:fill="5B9BD5" w:themeFill="accent5"/>
          </w:tcPr>
          <w:p w:rsidRPr="006F061F" w:rsidR="00140024" w:rsidP="007B74A2" w:rsidRDefault="00140024" w14:paraId="0F3A30B4" w14:textId="77777777">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6F061F">
              <w:rPr>
                <w:color w:val="FFFFFF" w:themeColor="background1"/>
              </w:rPr>
              <w:t>Male</w:t>
            </w:r>
          </w:p>
        </w:tc>
        <w:tc>
          <w:tcPr>
            <w:tcW w:w="1075" w:type="dxa"/>
            <w:shd w:val="clear" w:color="auto" w:fill="DEEAF6" w:themeFill="accent5" w:themeFillTint="33"/>
          </w:tcPr>
          <w:p w:rsidR="00140024" w:rsidP="007B74A2" w:rsidRDefault="00140024" w14:paraId="466B3033" w14:textId="64F006E1">
            <w:pPr>
              <w:cnfStyle w:val="000000100000" w:firstRow="0" w:lastRow="0" w:firstColumn="0" w:lastColumn="0" w:oddVBand="0" w:evenVBand="0" w:oddHBand="1" w:evenHBand="0" w:firstRowFirstColumn="0" w:firstRowLastColumn="0" w:lastRowFirstColumn="0" w:lastRowLastColumn="0"/>
            </w:pPr>
            <w:r>
              <w:t>68.1%</w:t>
            </w:r>
          </w:p>
        </w:tc>
        <w:tc>
          <w:tcPr>
            <w:tcW w:w="1075" w:type="dxa"/>
            <w:shd w:val="clear" w:color="auto" w:fill="DEEAF6" w:themeFill="accent5" w:themeFillTint="33"/>
          </w:tcPr>
          <w:p w:rsidR="00140024" w:rsidP="007B74A2" w:rsidRDefault="00140024" w14:paraId="1924E0F5" w14:textId="1E6C7D8C">
            <w:pPr>
              <w:cnfStyle w:val="000000100000" w:firstRow="0" w:lastRow="0" w:firstColumn="0" w:lastColumn="0" w:oddVBand="0" w:evenVBand="0" w:oddHBand="1" w:evenHBand="0" w:firstRowFirstColumn="0" w:firstRowLastColumn="0" w:lastRowFirstColumn="0" w:lastRowLastColumn="0"/>
            </w:pPr>
            <w:r>
              <w:t>70.0%</w:t>
            </w:r>
          </w:p>
        </w:tc>
        <w:tc>
          <w:tcPr>
            <w:tcW w:w="1075" w:type="dxa"/>
            <w:shd w:val="clear" w:color="auto" w:fill="DEEAF6" w:themeFill="accent5" w:themeFillTint="33"/>
          </w:tcPr>
          <w:p w:rsidR="00140024" w:rsidP="007B74A2" w:rsidRDefault="00140024" w14:paraId="36D6D4F8" w14:textId="5F388BEA">
            <w:pPr>
              <w:cnfStyle w:val="000000100000" w:firstRow="0" w:lastRow="0" w:firstColumn="0" w:lastColumn="0" w:oddVBand="0" w:evenVBand="0" w:oddHBand="1" w:evenHBand="0" w:firstRowFirstColumn="0" w:firstRowLastColumn="0" w:lastRowFirstColumn="0" w:lastRowLastColumn="0"/>
            </w:pPr>
            <w:r>
              <w:t>70.3%</w:t>
            </w:r>
          </w:p>
        </w:tc>
        <w:tc>
          <w:tcPr>
            <w:tcW w:w="1063" w:type="dxa"/>
            <w:shd w:val="clear" w:color="auto" w:fill="DEEAF6" w:themeFill="accent5" w:themeFillTint="33"/>
          </w:tcPr>
          <w:p w:rsidR="00140024" w:rsidP="007B74A2" w:rsidRDefault="00140024" w14:paraId="6AB5103F" w14:textId="3B39B8F6">
            <w:pPr>
              <w:cnfStyle w:val="000000100000" w:firstRow="0" w:lastRow="0" w:firstColumn="0" w:lastColumn="0" w:oddVBand="0" w:evenVBand="0" w:oddHBand="1" w:evenHBand="0" w:firstRowFirstColumn="0" w:firstRowLastColumn="0" w:lastRowFirstColumn="0" w:lastRowLastColumn="0"/>
            </w:pPr>
            <w:r>
              <w:t>77.0%</w:t>
            </w:r>
          </w:p>
        </w:tc>
        <w:tc>
          <w:tcPr>
            <w:tcW w:w="1063" w:type="dxa"/>
            <w:shd w:val="clear" w:color="auto" w:fill="DEEAF6" w:themeFill="accent5" w:themeFillTint="33"/>
          </w:tcPr>
          <w:p w:rsidR="00140024" w:rsidP="007B74A2" w:rsidRDefault="00140024" w14:paraId="3F3D3F24" w14:textId="6D513C9A">
            <w:pPr>
              <w:cnfStyle w:val="000000100000" w:firstRow="0" w:lastRow="0" w:firstColumn="0" w:lastColumn="0" w:oddVBand="0" w:evenVBand="0" w:oddHBand="1" w:evenHBand="0" w:firstRowFirstColumn="0" w:firstRowLastColumn="0" w:lastRowFirstColumn="0" w:lastRowLastColumn="0"/>
            </w:pPr>
            <w:r>
              <w:t>73.6%</w:t>
            </w:r>
          </w:p>
        </w:tc>
        <w:tc>
          <w:tcPr>
            <w:tcW w:w="1036" w:type="dxa"/>
            <w:shd w:val="clear" w:color="auto" w:fill="DEEAF6" w:themeFill="accent5" w:themeFillTint="33"/>
          </w:tcPr>
          <w:p w:rsidR="00140024" w:rsidP="007B74A2" w:rsidRDefault="00140024" w14:paraId="2BAC2464" w14:textId="05B520A3">
            <w:pPr>
              <w:cnfStyle w:val="000000100000" w:firstRow="0" w:lastRow="0" w:firstColumn="0" w:lastColumn="0" w:oddVBand="0" w:evenVBand="0" w:oddHBand="1" w:evenHBand="0" w:firstRowFirstColumn="0" w:firstRowLastColumn="0" w:lastRowFirstColumn="0" w:lastRowLastColumn="0"/>
            </w:pPr>
            <w:r>
              <w:t>71.8%</w:t>
            </w:r>
          </w:p>
        </w:tc>
      </w:tr>
      <w:tr w:rsidR="006F061F" w:rsidTr="005D0A2D" w14:paraId="5895BE6D" w14:textId="77777777">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516E53C7" w14:textId="77777777"/>
        </w:tc>
        <w:tc>
          <w:tcPr>
            <w:tcW w:w="1485" w:type="dxa"/>
            <w:shd w:val="clear" w:color="auto" w:fill="5B9BD5" w:themeFill="accent5"/>
          </w:tcPr>
          <w:p w:rsidRPr="006F061F" w:rsidR="00140024" w:rsidP="007B74A2" w:rsidRDefault="00140024" w14:paraId="1090D3E2" w14:textId="77777777">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075" w:type="dxa"/>
            <w:shd w:val="clear" w:color="auto" w:fill="BDD6EE" w:themeFill="accent5" w:themeFillTint="66"/>
          </w:tcPr>
          <w:p w:rsidR="00140024" w:rsidP="007B74A2" w:rsidRDefault="00140024" w14:paraId="1F1D4FBC" w14:textId="77777777">
            <w:pPr>
              <w:cnfStyle w:val="000000000000" w:firstRow="0" w:lastRow="0" w:firstColumn="0" w:lastColumn="0" w:oddVBand="0" w:evenVBand="0" w:oddHBand="0" w:evenHBand="0" w:firstRowFirstColumn="0" w:firstRowLastColumn="0" w:lastRowFirstColumn="0" w:lastRowLastColumn="0"/>
            </w:pPr>
          </w:p>
        </w:tc>
        <w:tc>
          <w:tcPr>
            <w:tcW w:w="1075" w:type="dxa"/>
            <w:shd w:val="clear" w:color="auto" w:fill="BDD6EE" w:themeFill="accent5" w:themeFillTint="66"/>
          </w:tcPr>
          <w:p w:rsidR="00140024" w:rsidP="007B74A2" w:rsidRDefault="00140024" w14:paraId="42888F7A" w14:textId="77777777">
            <w:pPr>
              <w:cnfStyle w:val="000000000000" w:firstRow="0" w:lastRow="0" w:firstColumn="0" w:lastColumn="0" w:oddVBand="0" w:evenVBand="0" w:oddHBand="0" w:evenHBand="0" w:firstRowFirstColumn="0" w:firstRowLastColumn="0" w:lastRowFirstColumn="0" w:lastRowLastColumn="0"/>
            </w:pPr>
          </w:p>
        </w:tc>
        <w:tc>
          <w:tcPr>
            <w:tcW w:w="1075" w:type="dxa"/>
            <w:shd w:val="clear" w:color="auto" w:fill="BDD6EE" w:themeFill="accent5" w:themeFillTint="66"/>
          </w:tcPr>
          <w:p w:rsidR="00140024" w:rsidP="007B74A2" w:rsidRDefault="00140024" w14:paraId="0BF50D4C" w14:textId="77777777">
            <w:pPr>
              <w:cnfStyle w:val="000000000000" w:firstRow="0" w:lastRow="0" w:firstColumn="0" w:lastColumn="0" w:oddVBand="0" w:evenVBand="0" w:oddHBand="0" w:evenHBand="0" w:firstRowFirstColumn="0" w:firstRowLastColumn="0" w:lastRowFirstColumn="0" w:lastRowLastColumn="0"/>
            </w:pPr>
          </w:p>
        </w:tc>
        <w:tc>
          <w:tcPr>
            <w:tcW w:w="1063" w:type="dxa"/>
            <w:shd w:val="clear" w:color="auto" w:fill="BDD6EE" w:themeFill="accent5" w:themeFillTint="66"/>
          </w:tcPr>
          <w:p w:rsidR="00140024" w:rsidP="007B74A2" w:rsidRDefault="00140024" w14:paraId="530BC525" w14:textId="77777777">
            <w:pPr>
              <w:cnfStyle w:val="000000000000" w:firstRow="0" w:lastRow="0" w:firstColumn="0" w:lastColumn="0" w:oddVBand="0" w:evenVBand="0" w:oddHBand="0" w:evenHBand="0" w:firstRowFirstColumn="0" w:firstRowLastColumn="0" w:lastRowFirstColumn="0" w:lastRowLastColumn="0"/>
            </w:pPr>
          </w:p>
        </w:tc>
        <w:tc>
          <w:tcPr>
            <w:tcW w:w="1063" w:type="dxa"/>
            <w:shd w:val="clear" w:color="auto" w:fill="BDD6EE" w:themeFill="accent5" w:themeFillTint="66"/>
          </w:tcPr>
          <w:p w:rsidR="00140024" w:rsidP="007B74A2" w:rsidRDefault="00140024" w14:paraId="0597008D" w14:textId="77777777">
            <w:pPr>
              <w:cnfStyle w:val="000000000000" w:firstRow="0" w:lastRow="0" w:firstColumn="0" w:lastColumn="0" w:oddVBand="0" w:evenVBand="0" w:oddHBand="0" w:evenHBand="0" w:firstRowFirstColumn="0" w:firstRowLastColumn="0" w:lastRowFirstColumn="0" w:lastRowLastColumn="0"/>
            </w:pPr>
          </w:p>
        </w:tc>
        <w:tc>
          <w:tcPr>
            <w:tcW w:w="1036" w:type="dxa"/>
            <w:shd w:val="clear" w:color="auto" w:fill="BDD6EE" w:themeFill="accent5" w:themeFillTint="66"/>
          </w:tcPr>
          <w:p w:rsidR="00140024" w:rsidP="007B74A2" w:rsidRDefault="00140024" w14:paraId="0CFCC81D" w14:textId="77777777">
            <w:pPr>
              <w:cnfStyle w:val="000000000000" w:firstRow="0" w:lastRow="0" w:firstColumn="0" w:lastColumn="0" w:oddVBand="0" w:evenVBand="0" w:oddHBand="0" w:evenHBand="0" w:firstRowFirstColumn="0" w:firstRowLastColumn="0" w:lastRowFirstColumn="0" w:lastRowLastColumn="0"/>
            </w:pPr>
          </w:p>
        </w:tc>
      </w:tr>
      <w:tr w:rsidR="006F061F" w:rsidTr="005D0A2D" w14:paraId="33D2083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03B736CA" w14:textId="77777777">
            <w:r w:rsidRPr="006F061F">
              <w:t>Disability</w:t>
            </w:r>
          </w:p>
        </w:tc>
        <w:tc>
          <w:tcPr>
            <w:tcW w:w="1485" w:type="dxa"/>
            <w:shd w:val="clear" w:color="auto" w:fill="5B9BD5" w:themeFill="accent5"/>
          </w:tcPr>
          <w:p w:rsidRPr="006F061F" w:rsidR="00140024" w:rsidP="007B74A2" w:rsidRDefault="00140024" w14:paraId="26BD9909" w14:textId="77777777">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6F061F">
              <w:rPr>
                <w:color w:val="FFFFFF" w:themeColor="background1"/>
              </w:rPr>
              <w:t>Disabled</w:t>
            </w:r>
          </w:p>
        </w:tc>
        <w:tc>
          <w:tcPr>
            <w:tcW w:w="1075" w:type="dxa"/>
            <w:shd w:val="clear" w:color="auto" w:fill="DEEAF6" w:themeFill="accent5" w:themeFillTint="33"/>
          </w:tcPr>
          <w:p w:rsidR="00140024" w:rsidP="007B74A2" w:rsidRDefault="00140024" w14:paraId="52A4A3D8" w14:textId="6744E018">
            <w:pPr>
              <w:cnfStyle w:val="000000100000" w:firstRow="0" w:lastRow="0" w:firstColumn="0" w:lastColumn="0" w:oddVBand="0" w:evenVBand="0" w:oddHBand="1" w:evenHBand="0" w:firstRowFirstColumn="0" w:firstRowLastColumn="0" w:lastRowFirstColumn="0" w:lastRowLastColumn="0"/>
            </w:pPr>
            <w:r>
              <w:t>69.2%</w:t>
            </w:r>
          </w:p>
        </w:tc>
        <w:tc>
          <w:tcPr>
            <w:tcW w:w="1075" w:type="dxa"/>
            <w:shd w:val="clear" w:color="auto" w:fill="DEEAF6" w:themeFill="accent5" w:themeFillTint="33"/>
          </w:tcPr>
          <w:p w:rsidR="00140024" w:rsidP="007B74A2" w:rsidRDefault="00140024" w14:paraId="112E6A71" w14:textId="431929FE">
            <w:pPr>
              <w:cnfStyle w:val="000000100000" w:firstRow="0" w:lastRow="0" w:firstColumn="0" w:lastColumn="0" w:oddVBand="0" w:evenVBand="0" w:oddHBand="1" w:evenHBand="0" w:firstRowFirstColumn="0" w:firstRowLastColumn="0" w:lastRowFirstColumn="0" w:lastRowLastColumn="0"/>
            </w:pPr>
            <w:r>
              <w:t>80.4%</w:t>
            </w:r>
          </w:p>
        </w:tc>
        <w:tc>
          <w:tcPr>
            <w:tcW w:w="1075" w:type="dxa"/>
            <w:shd w:val="clear" w:color="auto" w:fill="DEEAF6" w:themeFill="accent5" w:themeFillTint="33"/>
          </w:tcPr>
          <w:p w:rsidR="00140024" w:rsidP="007B74A2" w:rsidRDefault="00140024" w14:paraId="3CB623C7" w14:textId="175C7B88">
            <w:pPr>
              <w:cnfStyle w:val="000000100000" w:firstRow="0" w:lastRow="0" w:firstColumn="0" w:lastColumn="0" w:oddVBand="0" w:evenVBand="0" w:oddHBand="1" w:evenHBand="0" w:firstRowFirstColumn="0" w:firstRowLastColumn="0" w:lastRowFirstColumn="0" w:lastRowLastColumn="0"/>
            </w:pPr>
            <w:r>
              <w:t>73.8%</w:t>
            </w:r>
          </w:p>
        </w:tc>
        <w:tc>
          <w:tcPr>
            <w:tcW w:w="1063" w:type="dxa"/>
            <w:shd w:val="clear" w:color="auto" w:fill="DEEAF6" w:themeFill="accent5" w:themeFillTint="33"/>
          </w:tcPr>
          <w:p w:rsidR="00140024" w:rsidP="007B74A2" w:rsidRDefault="00140024" w14:paraId="32876202" w14:textId="30797CC6">
            <w:pPr>
              <w:cnfStyle w:val="000000100000" w:firstRow="0" w:lastRow="0" w:firstColumn="0" w:lastColumn="0" w:oddVBand="0" w:evenVBand="0" w:oddHBand="1" w:evenHBand="0" w:firstRowFirstColumn="0" w:firstRowLastColumn="0" w:lastRowFirstColumn="0" w:lastRowLastColumn="0"/>
            </w:pPr>
            <w:r>
              <w:t>83.3%</w:t>
            </w:r>
          </w:p>
        </w:tc>
        <w:tc>
          <w:tcPr>
            <w:tcW w:w="1063" w:type="dxa"/>
            <w:shd w:val="clear" w:color="auto" w:fill="DEEAF6" w:themeFill="accent5" w:themeFillTint="33"/>
          </w:tcPr>
          <w:p w:rsidR="00140024" w:rsidP="007B74A2" w:rsidRDefault="00140024" w14:paraId="0EC7C2F7" w14:textId="608ECF10">
            <w:pPr>
              <w:cnfStyle w:val="000000100000" w:firstRow="0" w:lastRow="0" w:firstColumn="0" w:lastColumn="0" w:oddVBand="0" w:evenVBand="0" w:oddHBand="1" w:evenHBand="0" w:firstRowFirstColumn="0" w:firstRowLastColumn="0" w:lastRowFirstColumn="0" w:lastRowLastColumn="0"/>
            </w:pPr>
            <w:r>
              <w:t>79.7%</w:t>
            </w:r>
          </w:p>
        </w:tc>
        <w:tc>
          <w:tcPr>
            <w:tcW w:w="1036" w:type="dxa"/>
            <w:shd w:val="clear" w:color="auto" w:fill="DEEAF6" w:themeFill="accent5" w:themeFillTint="33"/>
          </w:tcPr>
          <w:p w:rsidR="00140024" w:rsidP="007B74A2" w:rsidRDefault="00140024" w14:paraId="208F4836" w14:textId="453427C4">
            <w:pPr>
              <w:cnfStyle w:val="000000100000" w:firstRow="0" w:lastRow="0" w:firstColumn="0" w:lastColumn="0" w:oddVBand="0" w:evenVBand="0" w:oddHBand="1" w:evenHBand="0" w:firstRowFirstColumn="0" w:firstRowLastColumn="0" w:lastRowFirstColumn="0" w:lastRowLastColumn="0"/>
            </w:pPr>
            <w:r>
              <w:t>77.2%</w:t>
            </w:r>
          </w:p>
        </w:tc>
      </w:tr>
      <w:tr w:rsidR="006F061F" w:rsidTr="005D0A2D" w14:paraId="46C05CD4" w14:textId="77777777">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1B924CEC" w14:textId="77777777"/>
        </w:tc>
        <w:tc>
          <w:tcPr>
            <w:tcW w:w="1485" w:type="dxa"/>
            <w:shd w:val="clear" w:color="auto" w:fill="5B9BD5" w:themeFill="accent5"/>
          </w:tcPr>
          <w:p w:rsidRPr="006F061F" w:rsidR="00140024" w:rsidP="007B74A2" w:rsidRDefault="00140024" w14:paraId="569DC7E2" w14:textId="77777777">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6F061F">
              <w:rPr>
                <w:color w:val="FFFFFF" w:themeColor="background1"/>
              </w:rPr>
              <w:t>Non-disabled</w:t>
            </w:r>
          </w:p>
        </w:tc>
        <w:tc>
          <w:tcPr>
            <w:tcW w:w="1075" w:type="dxa"/>
          </w:tcPr>
          <w:p w:rsidR="00140024" w:rsidP="007B74A2" w:rsidRDefault="00140024" w14:paraId="7E0A143F" w14:textId="5855EA4F">
            <w:pPr>
              <w:cnfStyle w:val="000000000000" w:firstRow="0" w:lastRow="0" w:firstColumn="0" w:lastColumn="0" w:oddVBand="0" w:evenVBand="0" w:oddHBand="0" w:evenHBand="0" w:firstRowFirstColumn="0" w:firstRowLastColumn="0" w:lastRowFirstColumn="0" w:lastRowLastColumn="0"/>
            </w:pPr>
            <w:r>
              <w:t>72.7%</w:t>
            </w:r>
          </w:p>
        </w:tc>
        <w:tc>
          <w:tcPr>
            <w:tcW w:w="1075" w:type="dxa"/>
          </w:tcPr>
          <w:p w:rsidR="00140024" w:rsidP="007B74A2" w:rsidRDefault="00140024" w14:paraId="63B7AB59" w14:textId="376CCFB6">
            <w:pPr>
              <w:cnfStyle w:val="000000000000" w:firstRow="0" w:lastRow="0" w:firstColumn="0" w:lastColumn="0" w:oddVBand="0" w:evenVBand="0" w:oddHBand="0" w:evenHBand="0" w:firstRowFirstColumn="0" w:firstRowLastColumn="0" w:lastRowFirstColumn="0" w:lastRowLastColumn="0"/>
            </w:pPr>
            <w:r>
              <w:t>74.0%</w:t>
            </w:r>
          </w:p>
        </w:tc>
        <w:tc>
          <w:tcPr>
            <w:tcW w:w="1075" w:type="dxa"/>
          </w:tcPr>
          <w:p w:rsidR="00140024" w:rsidP="007B74A2" w:rsidRDefault="00140024" w14:paraId="183555EB" w14:textId="51FBDCFB">
            <w:pPr>
              <w:cnfStyle w:val="000000000000" w:firstRow="0" w:lastRow="0" w:firstColumn="0" w:lastColumn="0" w:oddVBand="0" w:evenVBand="0" w:oddHBand="0" w:evenHBand="0" w:firstRowFirstColumn="0" w:firstRowLastColumn="0" w:lastRowFirstColumn="0" w:lastRowLastColumn="0"/>
            </w:pPr>
            <w:r>
              <w:t>74.5%</w:t>
            </w:r>
          </w:p>
        </w:tc>
        <w:tc>
          <w:tcPr>
            <w:tcW w:w="1063" w:type="dxa"/>
          </w:tcPr>
          <w:p w:rsidR="00140024" w:rsidP="007B74A2" w:rsidRDefault="00140024" w14:paraId="512DD104" w14:textId="3FB495BE">
            <w:pPr>
              <w:cnfStyle w:val="000000000000" w:firstRow="0" w:lastRow="0" w:firstColumn="0" w:lastColumn="0" w:oddVBand="0" w:evenVBand="0" w:oddHBand="0" w:evenHBand="0" w:firstRowFirstColumn="0" w:firstRowLastColumn="0" w:lastRowFirstColumn="0" w:lastRowLastColumn="0"/>
            </w:pPr>
            <w:r>
              <w:t>82.0%</w:t>
            </w:r>
          </w:p>
        </w:tc>
        <w:tc>
          <w:tcPr>
            <w:tcW w:w="1063" w:type="dxa"/>
          </w:tcPr>
          <w:p w:rsidR="00140024" w:rsidP="007B74A2" w:rsidRDefault="00140024" w14:paraId="65B86C94" w14:textId="61AA8109">
            <w:pPr>
              <w:cnfStyle w:val="000000000000" w:firstRow="0" w:lastRow="0" w:firstColumn="0" w:lastColumn="0" w:oddVBand="0" w:evenVBand="0" w:oddHBand="0" w:evenHBand="0" w:firstRowFirstColumn="0" w:firstRowLastColumn="0" w:lastRowFirstColumn="0" w:lastRowLastColumn="0"/>
            </w:pPr>
            <w:r>
              <w:t>80.5%</w:t>
            </w:r>
          </w:p>
        </w:tc>
        <w:tc>
          <w:tcPr>
            <w:tcW w:w="1036" w:type="dxa"/>
          </w:tcPr>
          <w:p w:rsidR="00140024" w:rsidP="007B74A2" w:rsidRDefault="00140024" w14:paraId="6F2A59B5" w14:textId="110B9784">
            <w:pPr>
              <w:cnfStyle w:val="000000000000" w:firstRow="0" w:lastRow="0" w:firstColumn="0" w:lastColumn="0" w:oddVBand="0" w:evenVBand="0" w:oddHBand="0" w:evenHBand="0" w:firstRowFirstColumn="0" w:firstRowLastColumn="0" w:lastRowFirstColumn="0" w:lastRowLastColumn="0"/>
            </w:pPr>
            <w:r>
              <w:t>76.74%</w:t>
            </w:r>
          </w:p>
        </w:tc>
      </w:tr>
      <w:tr w:rsidR="006F061F" w:rsidTr="005D0A2D" w14:paraId="48B87CE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5CB61664" w14:textId="77777777"/>
        </w:tc>
        <w:tc>
          <w:tcPr>
            <w:tcW w:w="1485" w:type="dxa"/>
            <w:shd w:val="clear" w:color="auto" w:fill="5B9BD5" w:themeFill="accent5"/>
          </w:tcPr>
          <w:p w:rsidRPr="006F061F" w:rsidR="00140024" w:rsidP="007B74A2" w:rsidRDefault="00140024" w14:paraId="5085F150" w14:textId="77777777">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075" w:type="dxa"/>
          </w:tcPr>
          <w:p w:rsidR="00140024" w:rsidP="007B74A2" w:rsidRDefault="00140024" w14:paraId="3D8774FC" w14:textId="77777777">
            <w:pPr>
              <w:cnfStyle w:val="000000100000" w:firstRow="0" w:lastRow="0" w:firstColumn="0" w:lastColumn="0" w:oddVBand="0" w:evenVBand="0" w:oddHBand="1" w:evenHBand="0" w:firstRowFirstColumn="0" w:firstRowLastColumn="0" w:lastRowFirstColumn="0" w:lastRowLastColumn="0"/>
            </w:pPr>
          </w:p>
        </w:tc>
        <w:tc>
          <w:tcPr>
            <w:tcW w:w="1075" w:type="dxa"/>
          </w:tcPr>
          <w:p w:rsidR="00140024" w:rsidP="007B74A2" w:rsidRDefault="00140024" w14:paraId="109FC91B" w14:textId="77777777">
            <w:pPr>
              <w:cnfStyle w:val="000000100000" w:firstRow="0" w:lastRow="0" w:firstColumn="0" w:lastColumn="0" w:oddVBand="0" w:evenVBand="0" w:oddHBand="1" w:evenHBand="0" w:firstRowFirstColumn="0" w:firstRowLastColumn="0" w:lastRowFirstColumn="0" w:lastRowLastColumn="0"/>
            </w:pPr>
          </w:p>
        </w:tc>
        <w:tc>
          <w:tcPr>
            <w:tcW w:w="1075" w:type="dxa"/>
          </w:tcPr>
          <w:p w:rsidR="00140024" w:rsidP="007B74A2" w:rsidRDefault="00140024" w14:paraId="5CF2D751" w14:textId="77777777">
            <w:pPr>
              <w:cnfStyle w:val="000000100000" w:firstRow="0" w:lastRow="0" w:firstColumn="0" w:lastColumn="0" w:oddVBand="0" w:evenVBand="0" w:oddHBand="1" w:evenHBand="0" w:firstRowFirstColumn="0" w:firstRowLastColumn="0" w:lastRowFirstColumn="0" w:lastRowLastColumn="0"/>
            </w:pPr>
          </w:p>
        </w:tc>
        <w:tc>
          <w:tcPr>
            <w:tcW w:w="1063" w:type="dxa"/>
          </w:tcPr>
          <w:p w:rsidR="00140024" w:rsidP="007B74A2" w:rsidRDefault="00140024" w14:paraId="6B3B1557" w14:textId="77777777">
            <w:pPr>
              <w:cnfStyle w:val="000000100000" w:firstRow="0" w:lastRow="0" w:firstColumn="0" w:lastColumn="0" w:oddVBand="0" w:evenVBand="0" w:oddHBand="1" w:evenHBand="0" w:firstRowFirstColumn="0" w:firstRowLastColumn="0" w:lastRowFirstColumn="0" w:lastRowLastColumn="0"/>
            </w:pPr>
          </w:p>
        </w:tc>
        <w:tc>
          <w:tcPr>
            <w:tcW w:w="1063" w:type="dxa"/>
          </w:tcPr>
          <w:p w:rsidR="00140024" w:rsidP="007B74A2" w:rsidRDefault="00140024" w14:paraId="54AE9F6B" w14:textId="77777777">
            <w:pPr>
              <w:cnfStyle w:val="000000100000" w:firstRow="0" w:lastRow="0" w:firstColumn="0" w:lastColumn="0" w:oddVBand="0" w:evenVBand="0" w:oddHBand="1" w:evenHBand="0" w:firstRowFirstColumn="0" w:firstRowLastColumn="0" w:lastRowFirstColumn="0" w:lastRowLastColumn="0"/>
            </w:pPr>
          </w:p>
        </w:tc>
        <w:tc>
          <w:tcPr>
            <w:tcW w:w="1036" w:type="dxa"/>
          </w:tcPr>
          <w:p w:rsidR="00140024" w:rsidP="007B74A2" w:rsidRDefault="00140024" w14:paraId="4A26AC9A" w14:textId="77777777">
            <w:pPr>
              <w:cnfStyle w:val="000000100000" w:firstRow="0" w:lastRow="0" w:firstColumn="0" w:lastColumn="0" w:oddVBand="0" w:evenVBand="0" w:oddHBand="1" w:evenHBand="0" w:firstRowFirstColumn="0" w:firstRowLastColumn="0" w:lastRowFirstColumn="0" w:lastRowLastColumn="0"/>
            </w:pPr>
          </w:p>
        </w:tc>
      </w:tr>
      <w:tr w:rsidR="006F061F" w:rsidTr="005D0A2D" w14:paraId="0A4D010E" w14:textId="77777777">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689C14B6" w14:textId="77777777">
            <w:r w:rsidRPr="006F061F">
              <w:t>Age</w:t>
            </w:r>
          </w:p>
        </w:tc>
        <w:tc>
          <w:tcPr>
            <w:tcW w:w="1485" w:type="dxa"/>
            <w:shd w:val="clear" w:color="auto" w:fill="5B9BD5" w:themeFill="accent5"/>
          </w:tcPr>
          <w:p w:rsidRPr="006F061F" w:rsidR="00140024" w:rsidP="007B74A2" w:rsidRDefault="00140024" w14:paraId="46D37ACF" w14:textId="77777777">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6F061F">
              <w:rPr>
                <w:color w:val="FFFFFF" w:themeColor="background1"/>
              </w:rPr>
              <w:t>Young</w:t>
            </w:r>
          </w:p>
        </w:tc>
        <w:tc>
          <w:tcPr>
            <w:tcW w:w="1075" w:type="dxa"/>
          </w:tcPr>
          <w:p w:rsidR="00140024" w:rsidP="007B74A2" w:rsidRDefault="00140024" w14:paraId="3A1B383B" w14:textId="730AC09F">
            <w:pPr>
              <w:cnfStyle w:val="000000000000" w:firstRow="0" w:lastRow="0" w:firstColumn="0" w:lastColumn="0" w:oddVBand="0" w:evenVBand="0" w:oddHBand="0" w:evenHBand="0" w:firstRowFirstColumn="0" w:firstRowLastColumn="0" w:lastRowFirstColumn="0" w:lastRowLastColumn="0"/>
            </w:pPr>
            <w:r>
              <w:t>70.6%</w:t>
            </w:r>
          </w:p>
        </w:tc>
        <w:tc>
          <w:tcPr>
            <w:tcW w:w="1075" w:type="dxa"/>
          </w:tcPr>
          <w:p w:rsidR="00140024" w:rsidP="007B74A2" w:rsidRDefault="00140024" w14:paraId="414911E4" w14:textId="64695C2C">
            <w:pPr>
              <w:cnfStyle w:val="000000000000" w:firstRow="0" w:lastRow="0" w:firstColumn="0" w:lastColumn="0" w:oddVBand="0" w:evenVBand="0" w:oddHBand="0" w:evenHBand="0" w:firstRowFirstColumn="0" w:firstRowLastColumn="0" w:lastRowFirstColumn="0" w:lastRowLastColumn="0"/>
            </w:pPr>
            <w:r>
              <w:t>90.0%</w:t>
            </w:r>
          </w:p>
        </w:tc>
        <w:tc>
          <w:tcPr>
            <w:tcW w:w="1075" w:type="dxa"/>
          </w:tcPr>
          <w:p w:rsidR="00140024" w:rsidP="007B74A2" w:rsidRDefault="00140024" w14:paraId="2B40253B" w14:textId="13200048">
            <w:pPr>
              <w:cnfStyle w:val="000000000000" w:firstRow="0" w:lastRow="0" w:firstColumn="0" w:lastColumn="0" w:oddVBand="0" w:evenVBand="0" w:oddHBand="0" w:evenHBand="0" w:firstRowFirstColumn="0" w:firstRowLastColumn="0" w:lastRowFirstColumn="0" w:lastRowLastColumn="0"/>
            </w:pPr>
            <w:r>
              <w:t>80.0%</w:t>
            </w:r>
          </w:p>
        </w:tc>
        <w:tc>
          <w:tcPr>
            <w:tcW w:w="1063" w:type="dxa"/>
          </w:tcPr>
          <w:p w:rsidR="00140024" w:rsidP="007B74A2" w:rsidRDefault="00140024" w14:paraId="56E11443" w14:textId="0DE15D63">
            <w:pPr>
              <w:cnfStyle w:val="000000000000" w:firstRow="0" w:lastRow="0" w:firstColumn="0" w:lastColumn="0" w:oddVBand="0" w:evenVBand="0" w:oddHBand="0" w:evenHBand="0" w:firstRowFirstColumn="0" w:firstRowLastColumn="0" w:lastRowFirstColumn="0" w:lastRowLastColumn="0"/>
            </w:pPr>
            <w:r>
              <w:t>88.9%</w:t>
            </w:r>
          </w:p>
        </w:tc>
        <w:tc>
          <w:tcPr>
            <w:tcW w:w="1063" w:type="dxa"/>
          </w:tcPr>
          <w:p w:rsidR="00140024" w:rsidP="007B74A2" w:rsidRDefault="00140024" w14:paraId="13D3214A" w14:textId="65252982">
            <w:pPr>
              <w:cnfStyle w:val="000000000000" w:firstRow="0" w:lastRow="0" w:firstColumn="0" w:lastColumn="0" w:oddVBand="0" w:evenVBand="0" w:oddHBand="0" w:evenHBand="0" w:firstRowFirstColumn="0" w:firstRowLastColumn="0" w:lastRowFirstColumn="0" w:lastRowLastColumn="0"/>
            </w:pPr>
            <w:r>
              <w:t>94.3%</w:t>
            </w:r>
          </w:p>
        </w:tc>
        <w:tc>
          <w:tcPr>
            <w:tcW w:w="1036" w:type="dxa"/>
          </w:tcPr>
          <w:p w:rsidR="00140024" w:rsidP="007B74A2" w:rsidRDefault="00140024" w14:paraId="25B0CA48" w14:textId="04C05768">
            <w:pPr>
              <w:cnfStyle w:val="000000000000" w:firstRow="0" w:lastRow="0" w:firstColumn="0" w:lastColumn="0" w:oddVBand="0" w:evenVBand="0" w:oddHBand="0" w:evenHBand="0" w:firstRowFirstColumn="0" w:firstRowLastColumn="0" w:lastRowFirstColumn="0" w:lastRowLastColumn="0"/>
            </w:pPr>
            <w:r>
              <w:t>84.8%</w:t>
            </w:r>
          </w:p>
        </w:tc>
      </w:tr>
      <w:tr w:rsidR="006F061F" w:rsidTr="005D0A2D" w14:paraId="3AD3F2E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472E21D8" w14:textId="77777777"/>
        </w:tc>
        <w:tc>
          <w:tcPr>
            <w:tcW w:w="1485" w:type="dxa"/>
            <w:shd w:val="clear" w:color="auto" w:fill="5B9BD5" w:themeFill="accent5"/>
          </w:tcPr>
          <w:p w:rsidRPr="006F061F" w:rsidR="00140024" w:rsidP="007B74A2" w:rsidRDefault="00140024" w14:paraId="4FD5384E" w14:textId="77777777">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6F061F">
              <w:rPr>
                <w:color w:val="FFFFFF" w:themeColor="background1"/>
              </w:rPr>
              <w:t>Mature</w:t>
            </w:r>
          </w:p>
        </w:tc>
        <w:tc>
          <w:tcPr>
            <w:tcW w:w="1075" w:type="dxa"/>
            <w:shd w:val="clear" w:color="auto" w:fill="DEEAF6" w:themeFill="accent5" w:themeFillTint="33"/>
          </w:tcPr>
          <w:p w:rsidR="00140024" w:rsidP="007B74A2" w:rsidRDefault="00140024" w14:paraId="41DDE433" w14:textId="7E8C917D">
            <w:pPr>
              <w:cnfStyle w:val="000000100000" w:firstRow="0" w:lastRow="0" w:firstColumn="0" w:lastColumn="0" w:oddVBand="0" w:evenVBand="0" w:oddHBand="1" w:evenHBand="0" w:firstRowFirstColumn="0" w:firstRowLastColumn="0" w:lastRowFirstColumn="0" w:lastRowLastColumn="0"/>
            </w:pPr>
            <w:r>
              <w:t>72.3%</w:t>
            </w:r>
          </w:p>
        </w:tc>
        <w:tc>
          <w:tcPr>
            <w:tcW w:w="1075" w:type="dxa"/>
            <w:shd w:val="clear" w:color="auto" w:fill="DEEAF6" w:themeFill="accent5" w:themeFillTint="33"/>
          </w:tcPr>
          <w:p w:rsidR="00140024" w:rsidP="007B74A2" w:rsidRDefault="00140024" w14:paraId="78884686" w14:textId="3901E2C5">
            <w:pPr>
              <w:cnfStyle w:val="000000100000" w:firstRow="0" w:lastRow="0" w:firstColumn="0" w:lastColumn="0" w:oddVBand="0" w:evenVBand="0" w:oddHBand="1" w:evenHBand="0" w:firstRowFirstColumn="0" w:firstRowLastColumn="0" w:lastRowFirstColumn="0" w:lastRowLastColumn="0"/>
            </w:pPr>
            <w:r>
              <w:t>74.4%</w:t>
            </w:r>
          </w:p>
        </w:tc>
        <w:tc>
          <w:tcPr>
            <w:tcW w:w="1075" w:type="dxa"/>
            <w:shd w:val="clear" w:color="auto" w:fill="DEEAF6" w:themeFill="accent5" w:themeFillTint="33"/>
          </w:tcPr>
          <w:p w:rsidR="00140024" w:rsidP="007B74A2" w:rsidRDefault="00140024" w14:paraId="1F068642" w14:textId="4DB78367">
            <w:pPr>
              <w:cnfStyle w:val="000000100000" w:firstRow="0" w:lastRow="0" w:firstColumn="0" w:lastColumn="0" w:oddVBand="0" w:evenVBand="0" w:oddHBand="1" w:evenHBand="0" w:firstRowFirstColumn="0" w:firstRowLastColumn="0" w:lastRowFirstColumn="0" w:lastRowLastColumn="0"/>
            </w:pPr>
            <w:r>
              <w:t>74.1%</w:t>
            </w:r>
          </w:p>
        </w:tc>
        <w:tc>
          <w:tcPr>
            <w:tcW w:w="1063" w:type="dxa"/>
            <w:shd w:val="clear" w:color="auto" w:fill="DEEAF6" w:themeFill="accent5" w:themeFillTint="33"/>
          </w:tcPr>
          <w:p w:rsidR="00140024" w:rsidP="007B74A2" w:rsidRDefault="00140024" w14:paraId="585943F4" w14:textId="19C85DC2">
            <w:pPr>
              <w:cnfStyle w:val="000000100000" w:firstRow="0" w:lastRow="0" w:firstColumn="0" w:lastColumn="0" w:oddVBand="0" w:evenVBand="0" w:oddHBand="1" w:evenHBand="0" w:firstRowFirstColumn="0" w:firstRowLastColumn="0" w:lastRowFirstColumn="0" w:lastRowLastColumn="0"/>
            </w:pPr>
            <w:r>
              <w:t>82.0%</w:t>
            </w:r>
          </w:p>
        </w:tc>
        <w:tc>
          <w:tcPr>
            <w:tcW w:w="1063" w:type="dxa"/>
            <w:shd w:val="clear" w:color="auto" w:fill="DEEAF6" w:themeFill="accent5" w:themeFillTint="33"/>
          </w:tcPr>
          <w:p w:rsidR="00140024" w:rsidP="007B74A2" w:rsidRDefault="00140024" w14:paraId="7390C765" w14:textId="5DB64800">
            <w:pPr>
              <w:cnfStyle w:val="000000100000" w:firstRow="0" w:lastRow="0" w:firstColumn="0" w:lastColumn="0" w:oddVBand="0" w:evenVBand="0" w:oddHBand="1" w:evenHBand="0" w:firstRowFirstColumn="0" w:firstRowLastColumn="0" w:lastRowFirstColumn="0" w:lastRowLastColumn="0"/>
            </w:pPr>
            <w:r>
              <w:t>80.5%</w:t>
            </w:r>
          </w:p>
        </w:tc>
        <w:tc>
          <w:tcPr>
            <w:tcW w:w="1036" w:type="dxa"/>
            <w:shd w:val="clear" w:color="auto" w:fill="DEEAF6" w:themeFill="accent5" w:themeFillTint="33"/>
          </w:tcPr>
          <w:p w:rsidR="00140024" w:rsidP="007B74A2" w:rsidRDefault="00140024" w14:paraId="143E7324" w14:textId="61E5E9F3">
            <w:pPr>
              <w:cnfStyle w:val="000000100000" w:firstRow="0" w:lastRow="0" w:firstColumn="0" w:lastColumn="0" w:oddVBand="0" w:evenVBand="0" w:oddHBand="1" w:evenHBand="0" w:firstRowFirstColumn="0" w:firstRowLastColumn="0" w:lastRowFirstColumn="0" w:lastRowLastColumn="0"/>
            </w:pPr>
            <w:r>
              <w:t>76.7%</w:t>
            </w:r>
          </w:p>
        </w:tc>
      </w:tr>
      <w:tr w:rsidR="006F061F" w:rsidTr="005D0A2D" w14:paraId="36847FB2" w14:textId="77777777">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7019BAE4" w14:textId="77777777"/>
        </w:tc>
        <w:tc>
          <w:tcPr>
            <w:tcW w:w="1485" w:type="dxa"/>
            <w:shd w:val="clear" w:color="auto" w:fill="5B9BD5" w:themeFill="accent5"/>
          </w:tcPr>
          <w:p w:rsidRPr="006F061F" w:rsidR="00140024" w:rsidP="007B74A2" w:rsidRDefault="00140024" w14:paraId="2623A129" w14:textId="77777777">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075" w:type="dxa"/>
            <w:shd w:val="clear" w:color="auto" w:fill="BDD6EE" w:themeFill="accent5" w:themeFillTint="66"/>
          </w:tcPr>
          <w:p w:rsidR="00140024" w:rsidP="007B74A2" w:rsidRDefault="00140024" w14:paraId="3FEA5DC3" w14:textId="77777777">
            <w:pPr>
              <w:cnfStyle w:val="000000000000" w:firstRow="0" w:lastRow="0" w:firstColumn="0" w:lastColumn="0" w:oddVBand="0" w:evenVBand="0" w:oddHBand="0" w:evenHBand="0" w:firstRowFirstColumn="0" w:firstRowLastColumn="0" w:lastRowFirstColumn="0" w:lastRowLastColumn="0"/>
            </w:pPr>
          </w:p>
        </w:tc>
        <w:tc>
          <w:tcPr>
            <w:tcW w:w="1075" w:type="dxa"/>
            <w:shd w:val="clear" w:color="auto" w:fill="BDD6EE" w:themeFill="accent5" w:themeFillTint="66"/>
          </w:tcPr>
          <w:p w:rsidR="00140024" w:rsidP="007B74A2" w:rsidRDefault="00140024" w14:paraId="1D1BE0B4" w14:textId="77777777">
            <w:pPr>
              <w:cnfStyle w:val="000000000000" w:firstRow="0" w:lastRow="0" w:firstColumn="0" w:lastColumn="0" w:oddVBand="0" w:evenVBand="0" w:oddHBand="0" w:evenHBand="0" w:firstRowFirstColumn="0" w:firstRowLastColumn="0" w:lastRowFirstColumn="0" w:lastRowLastColumn="0"/>
            </w:pPr>
          </w:p>
        </w:tc>
        <w:tc>
          <w:tcPr>
            <w:tcW w:w="1075" w:type="dxa"/>
            <w:shd w:val="clear" w:color="auto" w:fill="BDD6EE" w:themeFill="accent5" w:themeFillTint="66"/>
          </w:tcPr>
          <w:p w:rsidR="00140024" w:rsidP="007B74A2" w:rsidRDefault="00140024" w14:paraId="51880B38" w14:textId="77777777">
            <w:pPr>
              <w:cnfStyle w:val="000000000000" w:firstRow="0" w:lastRow="0" w:firstColumn="0" w:lastColumn="0" w:oddVBand="0" w:evenVBand="0" w:oddHBand="0" w:evenHBand="0" w:firstRowFirstColumn="0" w:firstRowLastColumn="0" w:lastRowFirstColumn="0" w:lastRowLastColumn="0"/>
            </w:pPr>
          </w:p>
        </w:tc>
        <w:tc>
          <w:tcPr>
            <w:tcW w:w="1063" w:type="dxa"/>
            <w:shd w:val="clear" w:color="auto" w:fill="BDD6EE" w:themeFill="accent5" w:themeFillTint="66"/>
          </w:tcPr>
          <w:p w:rsidR="00140024" w:rsidP="007B74A2" w:rsidRDefault="00140024" w14:paraId="6B23352A" w14:textId="77777777">
            <w:pPr>
              <w:cnfStyle w:val="000000000000" w:firstRow="0" w:lastRow="0" w:firstColumn="0" w:lastColumn="0" w:oddVBand="0" w:evenVBand="0" w:oddHBand="0" w:evenHBand="0" w:firstRowFirstColumn="0" w:firstRowLastColumn="0" w:lastRowFirstColumn="0" w:lastRowLastColumn="0"/>
            </w:pPr>
          </w:p>
        </w:tc>
        <w:tc>
          <w:tcPr>
            <w:tcW w:w="1063" w:type="dxa"/>
            <w:shd w:val="clear" w:color="auto" w:fill="BDD6EE" w:themeFill="accent5" w:themeFillTint="66"/>
          </w:tcPr>
          <w:p w:rsidR="00140024" w:rsidP="007B74A2" w:rsidRDefault="00140024" w14:paraId="40BB7396" w14:textId="77777777">
            <w:pPr>
              <w:cnfStyle w:val="000000000000" w:firstRow="0" w:lastRow="0" w:firstColumn="0" w:lastColumn="0" w:oddVBand="0" w:evenVBand="0" w:oddHBand="0" w:evenHBand="0" w:firstRowFirstColumn="0" w:firstRowLastColumn="0" w:lastRowFirstColumn="0" w:lastRowLastColumn="0"/>
            </w:pPr>
          </w:p>
        </w:tc>
        <w:tc>
          <w:tcPr>
            <w:tcW w:w="1036" w:type="dxa"/>
            <w:shd w:val="clear" w:color="auto" w:fill="BDD6EE" w:themeFill="accent5" w:themeFillTint="66"/>
          </w:tcPr>
          <w:p w:rsidR="00140024" w:rsidP="007B74A2" w:rsidRDefault="00140024" w14:paraId="724E078C" w14:textId="77777777">
            <w:pPr>
              <w:cnfStyle w:val="000000000000" w:firstRow="0" w:lastRow="0" w:firstColumn="0" w:lastColumn="0" w:oddVBand="0" w:evenVBand="0" w:oddHBand="0" w:evenHBand="0" w:firstRowFirstColumn="0" w:firstRowLastColumn="0" w:lastRowFirstColumn="0" w:lastRowLastColumn="0"/>
            </w:pPr>
          </w:p>
        </w:tc>
      </w:tr>
      <w:tr w:rsidR="006F061F" w:rsidTr="005D0A2D" w14:paraId="23DC31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142390A1" w14:textId="77777777">
            <w:r w:rsidRPr="006F061F">
              <w:t>Domicile</w:t>
            </w:r>
          </w:p>
        </w:tc>
        <w:tc>
          <w:tcPr>
            <w:tcW w:w="1485" w:type="dxa"/>
            <w:shd w:val="clear" w:color="auto" w:fill="5B9BD5" w:themeFill="accent5"/>
          </w:tcPr>
          <w:p w:rsidRPr="006F061F" w:rsidR="00140024" w:rsidP="007B74A2" w:rsidRDefault="00140024" w14:paraId="33703679" w14:textId="77777777">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6F061F">
              <w:rPr>
                <w:color w:val="FFFFFF" w:themeColor="background1"/>
              </w:rPr>
              <w:t>International</w:t>
            </w:r>
          </w:p>
        </w:tc>
        <w:tc>
          <w:tcPr>
            <w:tcW w:w="1075" w:type="dxa"/>
            <w:shd w:val="clear" w:color="auto" w:fill="DEEAF6" w:themeFill="accent5" w:themeFillTint="33"/>
          </w:tcPr>
          <w:p w:rsidR="00140024" w:rsidP="007B74A2" w:rsidRDefault="00140024" w14:paraId="72E68C75" w14:textId="71B660D1">
            <w:pPr>
              <w:cnfStyle w:val="000000100000" w:firstRow="0" w:lastRow="0" w:firstColumn="0" w:lastColumn="0" w:oddVBand="0" w:evenVBand="0" w:oddHBand="1" w:evenHBand="0" w:firstRowFirstColumn="0" w:firstRowLastColumn="0" w:lastRowFirstColumn="0" w:lastRowLastColumn="0"/>
            </w:pPr>
            <w:r>
              <w:t>69.2%</w:t>
            </w:r>
          </w:p>
        </w:tc>
        <w:tc>
          <w:tcPr>
            <w:tcW w:w="1075" w:type="dxa"/>
            <w:shd w:val="clear" w:color="auto" w:fill="DEEAF6" w:themeFill="accent5" w:themeFillTint="33"/>
          </w:tcPr>
          <w:p w:rsidR="00140024" w:rsidP="007B74A2" w:rsidRDefault="00140024" w14:paraId="11A74FCE" w14:textId="186570CB">
            <w:pPr>
              <w:cnfStyle w:val="000000100000" w:firstRow="0" w:lastRow="0" w:firstColumn="0" w:lastColumn="0" w:oddVBand="0" w:evenVBand="0" w:oddHBand="1" w:evenHBand="0" w:firstRowFirstColumn="0" w:firstRowLastColumn="0" w:lastRowFirstColumn="0" w:lastRowLastColumn="0"/>
            </w:pPr>
            <w:r>
              <w:t>67.2%</w:t>
            </w:r>
          </w:p>
        </w:tc>
        <w:tc>
          <w:tcPr>
            <w:tcW w:w="1075" w:type="dxa"/>
            <w:shd w:val="clear" w:color="auto" w:fill="DEEAF6" w:themeFill="accent5" w:themeFillTint="33"/>
          </w:tcPr>
          <w:p w:rsidR="00140024" w:rsidP="007B74A2" w:rsidRDefault="00140024" w14:paraId="5AAD4982" w14:textId="1438D791">
            <w:pPr>
              <w:cnfStyle w:val="000000100000" w:firstRow="0" w:lastRow="0" w:firstColumn="0" w:lastColumn="0" w:oddVBand="0" w:evenVBand="0" w:oddHBand="1" w:evenHBand="0" w:firstRowFirstColumn="0" w:firstRowLastColumn="0" w:lastRowFirstColumn="0" w:lastRowLastColumn="0"/>
            </w:pPr>
            <w:r>
              <w:t>89.7%</w:t>
            </w:r>
          </w:p>
        </w:tc>
        <w:tc>
          <w:tcPr>
            <w:tcW w:w="1063" w:type="dxa"/>
            <w:shd w:val="clear" w:color="auto" w:fill="DEEAF6" w:themeFill="accent5" w:themeFillTint="33"/>
          </w:tcPr>
          <w:p w:rsidR="00140024" w:rsidP="007B74A2" w:rsidRDefault="00140024" w14:paraId="44E9D87E" w14:textId="36C19732">
            <w:pPr>
              <w:cnfStyle w:val="000000100000" w:firstRow="0" w:lastRow="0" w:firstColumn="0" w:lastColumn="0" w:oddVBand="0" w:evenVBand="0" w:oddHBand="1" w:evenHBand="0" w:firstRowFirstColumn="0" w:firstRowLastColumn="0" w:lastRowFirstColumn="0" w:lastRowLastColumn="0"/>
            </w:pPr>
            <w:r>
              <w:t>90.6%</w:t>
            </w:r>
          </w:p>
        </w:tc>
        <w:tc>
          <w:tcPr>
            <w:tcW w:w="1063" w:type="dxa"/>
            <w:shd w:val="clear" w:color="auto" w:fill="DEEAF6" w:themeFill="accent5" w:themeFillTint="33"/>
          </w:tcPr>
          <w:p w:rsidR="00140024" w:rsidP="007B74A2" w:rsidRDefault="00140024" w14:paraId="5A233290" w14:textId="34F517CB">
            <w:pPr>
              <w:cnfStyle w:val="000000100000" w:firstRow="0" w:lastRow="0" w:firstColumn="0" w:lastColumn="0" w:oddVBand="0" w:evenVBand="0" w:oddHBand="1" w:evenHBand="0" w:firstRowFirstColumn="0" w:firstRowLastColumn="0" w:lastRowFirstColumn="0" w:lastRowLastColumn="0"/>
            </w:pPr>
            <w:r>
              <w:t>86.4%</w:t>
            </w:r>
          </w:p>
        </w:tc>
        <w:tc>
          <w:tcPr>
            <w:tcW w:w="1036" w:type="dxa"/>
            <w:shd w:val="clear" w:color="auto" w:fill="DEEAF6" w:themeFill="accent5" w:themeFillTint="33"/>
          </w:tcPr>
          <w:p w:rsidR="00140024" w:rsidP="007B74A2" w:rsidRDefault="00140024" w14:paraId="1357A185" w14:textId="4C4CFFD2">
            <w:pPr>
              <w:cnfStyle w:val="000000100000" w:firstRow="0" w:lastRow="0" w:firstColumn="0" w:lastColumn="0" w:oddVBand="0" w:evenVBand="0" w:oddHBand="1" w:evenHBand="0" w:firstRowFirstColumn="0" w:firstRowLastColumn="0" w:lastRowFirstColumn="0" w:lastRowLastColumn="0"/>
            </w:pPr>
            <w:r>
              <w:t>80.6%</w:t>
            </w:r>
          </w:p>
        </w:tc>
      </w:tr>
      <w:tr w:rsidR="006F061F" w:rsidTr="005D0A2D" w14:paraId="3B81775D" w14:textId="77777777">
        <w:tc>
          <w:tcPr>
            <w:cnfStyle w:val="001000000000" w:firstRow="0" w:lastRow="0" w:firstColumn="1" w:lastColumn="0" w:oddVBand="0" w:evenVBand="0" w:oddHBand="0" w:evenHBand="0" w:firstRowFirstColumn="0" w:firstRowLastColumn="0" w:lastRowFirstColumn="0" w:lastRowLastColumn="0"/>
            <w:tcW w:w="1144" w:type="dxa"/>
          </w:tcPr>
          <w:p w:rsidRPr="006F061F" w:rsidR="00140024" w:rsidP="007B74A2" w:rsidRDefault="00140024" w14:paraId="516A82D4" w14:textId="77777777"/>
        </w:tc>
        <w:tc>
          <w:tcPr>
            <w:tcW w:w="1485" w:type="dxa"/>
            <w:shd w:val="clear" w:color="auto" w:fill="5B9BD5" w:themeFill="accent5"/>
          </w:tcPr>
          <w:p w:rsidRPr="006F061F" w:rsidR="00140024" w:rsidP="007B74A2" w:rsidRDefault="00140024" w14:paraId="7E29D5B4" w14:textId="77777777">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6F061F">
              <w:rPr>
                <w:color w:val="FFFFFF" w:themeColor="background1"/>
              </w:rPr>
              <w:t>UK</w:t>
            </w:r>
          </w:p>
        </w:tc>
        <w:tc>
          <w:tcPr>
            <w:tcW w:w="1075" w:type="dxa"/>
          </w:tcPr>
          <w:p w:rsidR="00140024" w:rsidP="007B74A2" w:rsidRDefault="00140024" w14:paraId="25F860AA" w14:textId="7CAD2E3A">
            <w:pPr>
              <w:cnfStyle w:val="000000000000" w:firstRow="0" w:lastRow="0" w:firstColumn="0" w:lastColumn="0" w:oddVBand="0" w:evenVBand="0" w:oddHBand="0" w:evenHBand="0" w:firstRowFirstColumn="0" w:firstRowLastColumn="0" w:lastRowFirstColumn="0" w:lastRowLastColumn="0"/>
            </w:pPr>
            <w:r>
              <w:t>72.4%</w:t>
            </w:r>
          </w:p>
        </w:tc>
        <w:tc>
          <w:tcPr>
            <w:tcW w:w="1075" w:type="dxa"/>
          </w:tcPr>
          <w:p w:rsidR="00140024" w:rsidP="007B74A2" w:rsidRDefault="00140024" w14:paraId="44A1206A" w14:textId="06A4CB54">
            <w:pPr>
              <w:cnfStyle w:val="000000000000" w:firstRow="0" w:lastRow="0" w:firstColumn="0" w:lastColumn="0" w:oddVBand="0" w:evenVBand="0" w:oddHBand="0" w:evenHBand="0" w:firstRowFirstColumn="0" w:firstRowLastColumn="0" w:lastRowFirstColumn="0" w:lastRowLastColumn="0"/>
            </w:pPr>
            <w:r>
              <w:t>75.6%</w:t>
            </w:r>
          </w:p>
        </w:tc>
        <w:tc>
          <w:tcPr>
            <w:tcW w:w="1075" w:type="dxa"/>
          </w:tcPr>
          <w:p w:rsidR="00140024" w:rsidP="007B74A2" w:rsidRDefault="00140024" w14:paraId="7465675C" w14:textId="63B2A4A6">
            <w:pPr>
              <w:cnfStyle w:val="000000000000" w:firstRow="0" w:lastRow="0" w:firstColumn="0" w:lastColumn="0" w:oddVBand="0" w:evenVBand="0" w:oddHBand="0" w:evenHBand="0" w:firstRowFirstColumn="0" w:firstRowLastColumn="0" w:lastRowFirstColumn="0" w:lastRowLastColumn="0"/>
            </w:pPr>
            <w:r>
              <w:t>73.7%</w:t>
            </w:r>
          </w:p>
        </w:tc>
        <w:tc>
          <w:tcPr>
            <w:tcW w:w="1063" w:type="dxa"/>
          </w:tcPr>
          <w:p w:rsidR="00140024" w:rsidP="007B74A2" w:rsidRDefault="00140024" w14:paraId="713B20FE" w14:textId="3BD22A16">
            <w:pPr>
              <w:cnfStyle w:val="000000000000" w:firstRow="0" w:lastRow="0" w:firstColumn="0" w:lastColumn="0" w:oddVBand="0" w:evenVBand="0" w:oddHBand="0" w:evenHBand="0" w:firstRowFirstColumn="0" w:firstRowLastColumn="0" w:lastRowFirstColumn="0" w:lastRowLastColumn="0"/>
            </w:pPr>
            <w:r>
              <w:t>81.7%</w:t>
            </w:r>
          </w:p>
        </w:tc>
        <w:tc>
          <w:tcPr>
            <w:tcW w:w="1063" w:type="dxa"/>
          </w:tcPr>
          <w:p w:rsidR="00140024" w:rsidP="007B74A2" w:rsidRDefault="00140024" w14:paraId="046D91C2" w14:textId="399EA0E3">
            <w:pPr>
              <w:cnfStyle w:val="000000000000" w:firstRow="0" w:lastRow="0" w:firstColumn="0" w:lastColumn="0" w:oddVBand="0" w:evenVBand="0" w:oddHBand="0" w:evenHBand="0" w:firstRowFirstColumn="0" w:firstRowLastColumn="0" w:lastRowFirstColumn="0" w:lastRowLastColumn="0"/>
            </w:pPr>
            <w:r>
              <w:t>80.7%</w:t>
            </w:r>
          </w:p>
        </w:tc>
        <w:tc>
          <w:tcPr>
            <w:tcW w:w="1036" w:type="dxa"/>
          </w:tcPr>
          <w:p w:rsidR="00140024" w:rsidP="007B74A2" w:rsidRDefault="00140024" w14:paraId="7A7D7F16" w14:textId="40FEEE63">
            <w:pPr>
              <w:cnfStyle w:val="000000000000" w:firstRow="0" w:lastRow="0" w:firstColumn="0" w:lastColumn="0" w:oddVBand="0" w:evenVBand="0" w:oddHBand="0" w:evenHBand="0" w:firstRowFirstColumn="0" w:firstRowLastColumn="0" w:lastRowFirstColumn="0" w:lastRowLastColumn="0"/>
            </w:pPr>
            <w:r>
              <w:t>76.8%</w:t>
            </w:r>
          </w:p>
        </w:tc>
      </w:tr>
      <w:tr w:rsidR="005D0A2D" w:rsidTr="005D0A2D" w14:paraId="7FF074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Pr>
          <w:p w:rsidRPr="006F061F" w:rsidR="005B711D" w:rsidP="005B711D" w:rsidRDefault="005B711D" w14:paraId="360B5495" w14:textId="77777777"/>
        </w:tc>
        <w:tc>
          <w:tcPr>
            <w:tcW w:w="1485" w:type="dxa"/>
            <w:shd w:val="clear" w:color="auto" w:fill="5B9BD5" w:themeFill="accent5"/>
          </w:tcPr>
          <w:p w:rsidRPr="006F061F" w:rsidR="005B711D" w:rsidP="005B711D" w:rsidRDefault="005B711D" w14:paraId="6BB8B3D7" w14:textId="77777777">
            <w:pPr>
              <w:cnfStyle w:val="000000100000" w:firstRow="0" w:lastRow="0" w:firstColumn="0" w:lastColumn="0" w:oddVBand="0" w:evenVBand="0" w:oddHBand="1" w:evenHBand="0" w:firstRowFirstColumn="0" w:firstRowLastColumn="0" w:lastRowFirstColumn="0" w:lastRowLastColumn="0"/>
              <w:rPr>
                <w:color w:val="FFFFFF" w:themeColor="background1"/>
              </w:rPr>
            </w:pPr>
          </w:p>
        </w:tc>
        <w:tc>
          <w:tcPr>
            <w:tcW w:w="1075" w:type="dxa"/>
          </w:tcPr>
          <w:p w:rsidR="005B711D" w:rsidP="005B711D" w:rsidRDefault="005B711D" w14:paraId="27D82589" w14:textId="77777777">
            <w:pPr>
              <w:cnfStyle w:val="000000100000" w:firstRow="0" w:lastRow="0" w:firstColumn="0" w:lastColumn="0" w:oddVBand="0" w:evenVBand="0" w:oddHBand="1" w:evenHBand="0" w:firstRowFirstColumn="0" w:firstRowLastColumn="0" w:lastRowFirstColumn="0" w:lastRowLastColumn="0"/>
            </w:pPr>
          </w:p>
        </w:tc>
        <w:tc>
          <w:tcPr>
            <w:tcW w:w="1075" w:type="dxa"/>
          </w:tcPr>
          <w:p w:rsidR="005B711D" w:rsidP="005B711D" w:rsidRDefault="005B711D" w14:paraId="2A24B7F0" w14:textId="77777777">
            <w:pPr>
              <w:cnfStyle w:val="000000100000" w:firstRow="0" w:lastRow="0" w:firstColumn="0" w:lastColumn="0" w:oddVBand="0" w:evenVBand="0" w:oddHBand="1" w:evenHBand="0" w:firstRowFirstColumn="0" w:firstRowLastColumn="0" w:lastRowFirstColumn="0" w:lastRowLastColumn="0"/>
            </w:pPr>
          </w:p>
        </w:tc>
        <w:tc>
          <w:tcPr>
            <w:tcW w:w="1075" w:type="dxa"/>
          </w:tcPr>
          <w:p w:rsidR="005B711D" w:rsidP="005B711D" w:rsidRDefault="005B711D" w14:paraId="5DB12A62" w14:textId="77777777">
            <w:pPr>
              <w:cnfStyle w:val="000000100000" w:firstRow="0" w:lastRow="0" w:firstColumn="0" w:lastColumn="0" w:oddVBand="0" w:evenVBand="0" w:oddHBand="1" w:evenHBand="0" w:firstRowFirstColumn="0" w:firstRowLastColumn="0" w:lastRowFirstColumn="0" w:lastRowLastColumn="0"/>
            </w:pPr>
          </w:p>
        </w:tc>
        <w:tc>
          <w:tcPr>
            <w:tcW w:w="1063" w:type="dxa"/>
          </w:tcPr>
          <w:p w:rsidR="005B711D" w:rsidP="005B711D" w:rsidRDefault="005B711D" w14:paraId="70B3D448" w14:textId="77777777">
            <w:pPr>
              <w:cnfStyle w:val="000000100000" w:firstRow="0" w:lastRow="0" w:firstColumn="0" w:lastColumn="0" w:oddVBand="0" w:evenVBand="0" w:oddHBand="1" w:evenHBand="0" w:firstRowFirstColumn="0" w:firstRowLastColumn="0" w:lastRowFirstColumn="0" w:lastRowLastColumn="0"/>
            </w:pPr>
          </w:p>
        </w:tc>
        <w:tc>
          <w:tcPr>
            <w:tcW w:w="1063" w:type="dxa"/>
          </w:tcPr>
          <w:p w:rsidR="005B711D" w:rsidP="005B711D" w:rsidRDefault="005B711D" w14:paraId="3DE3B076" w14:textId="77777777">
            <w:pPr>
              <w:cnfStyle w:val="000000100000" w:firstRow="0" w:lastRow="0" w:firstColumn="0" w:lastColumn="0" w:oddVBand="0" w:evenVBand="0" w:oddHBand="1" w:evenHBand="0" w:firstRowFirstColumn="0" w:firstRowLastColumn="0" w:lastRowFirstColumn="0" w:lastRowLastColumn="0"/>
            </w:pPr>
          </w:p>
        </w:tc>
        <w:tc>
          <w:tcPr>
            <w:tcW w:w="1036" w:type="dxa"/>
          </w:tcPr>
          <w:p w:rsidR="005B711D" w:rsidP="005B711D" w:rsidRDefault="005B711D" w14:paraId="62F584B1" w14:textId="77777777">
            <w:pPr>
              <w:cnfStyle w:val="000000100000" w:firstRow="0" w:lastRow="0" w:firstColumn="0" w:lastColumn="0" w:oddVBand="0" w:evenVBand="0" w:oddHBand="1" w:evenHBand="0" w:firstRowFirstColumn="0" w:firstRowLastColumn="0" w:lastRowFirstColumn="0" w:lastRowLastColumn="0"/>
            </w:pPr>
          </w:p>
        </w:tc>
      </w:tr>
      <w:tr w:rsidR="006F061F" w:rsidTr="005D0A2D" w14:paraId="74816B16" w14:textId="77777777">
        <w:tc>
          <w:tcPr>
            <w:cnfStyle w:val="001000000000" w:firstRow="0" w:lastRow="0" w:firstColumn="1" w:lastColumn="0" w:oddVBand="0" w:evenVBand="0" w:oddHBand="0" w:evenHBand="0" w:firstRowFirstColumn="0" w:firstRowLastColumn="0" w:lastRowFirstColumn="0" w:lastRowLastColumn="0"/>
            <w:tcW w:w="1144" w:type="dxa"/>
          </w:tcPr>
          <w:p w:rsidRPr="006F061F" w:rsidR="005B711D" w:rsidP="005B711D" w:rsidRDefault="005B711D" w14:paraId="1E4C7AFE" w14:textId="23F61445">
            <w:r w:rsidRPr="006F061F">
              <w:t>LPN</w:t>
            </w:r>
          </w:p>
        </w:tc>
        <w:tc>
          <w:tcPr>
            <w:tcW w:w="1485" w:type="dxa"/>
            <w:shd w:val="clear" w:color="auto" w:fill="5B9BD5" w:themeFill="accent5"/>
          </w:tcPr>
          <w:p w:rsidRPr="006F061F" w:rsidR="005B711D" w:rsidP="005B711D" w:rsidRDefault="005B711D" w14:paraId="77172E2C" w14:textId="3274567C">
            <w:pPr>
              <w:cnfStyle w:val="000000000000" w:firstRow="0" w:lastRow="0" w:firstColumn="0" w:lastColumn="0" w:oddVBand="0" w:evenVBand="0" w:oddHBand="0" w:evenHBand="0" w:firstRowFirstColumn="0" w:firstRowLastColumn="0" w:lastRowFirstColumn="0" w:lastRowLastColumn="0"/>
              <w:rPr>
                <w:color w:val="FFFFFF" w:themeColor="background1"/>
              </w:rPr>
            </w:pPr>
            <w:r w:rsidRPr="006F061F">
              <w:rPr>
                <w:color w:val="FFFFFF" w:themeColor="background1"/>
              </w:rPr>
              <w:t>POLAR4 1&amp;2</w:t>
            </w:r>
          </w:p>
        </w:tc>
        <w:tc>
          <w:tcPr>
            <w:tcW w:w="1075" w:type="dxa"/>
          </w:tcPr>
          <w:p w:rsidR="005B711D" w:rsidP="005B711D" w:rsidRDefault="005B711D" w14:paraId="4F534E43" w14:textId="6D446B2D">
            <w:pPr>
              <w:cnfStyle w:val="000000000000" w:firstRow="0" w:lastRow="0" w:firstColumn="0" w:lastColumn="0" w:oddVBand="0" w:evenVBand="0" w:oddHBand="0" w:evenHBand="0" w:firstRowFirstColumn="0" w:firstRowLastColumn="0" w:lastRowFirstColumn="0" w:lastRowLastColumn="0"/>
            </w:pPr>
            <w:r>
              <w:t>73.5</w:t>
            </w:r>
            <w:r w:rsidR="006F061F">
              <w:t>%</w:t>
            </w:r>
          </w:p>
        </w:tc>
        <w:tc>
          <w:tcPr>
            <w:tcW w:w="1075" w:type="dxa"/>
          </w:tcPr>
          <w:p w:rsidR="005B711D" w:rsidP="005B711D" w:rsidRDefault="005B711D" w14:paraId="49EE38FB" w14:textId="673F3E35">
            <w:pPr>
              <w:cnfStyle w:val="000000000000" w:firstRow="0" w:lastRow="0" w:firstColumn="0" w:lastColumn="0" w:oddVBand="0" w:evenVBand="0" w:oddHBand="0" w:evenHBand="0" w:firstRowFirstColumn="0" w:firstRowLastColumn="0" w:lastRowFirstColumn="0" w:lastRowLastColumn="0"/>
            </w:pPr>
            <w:r>
              <w:t>78.2</w:t>
            </w:r>
            <w:r w:rsidR="006F061F">
              <w:t>%</w:t>
            </w:r>
          </w:p>
        </w:tc>
        <w:tc>
          <w:tcPr>
            <w:tcW w:w="1075" w:type="dxa"/>
          </w:tcPr>
          <w:p w:rsidR="005B711D" w:rsidP="005B711D" w:rsidRDefault="005B711D" w14:paraId="530CCA73" w14:textId="0E9D5E97">
            <w:pPr>
              <w:cnfStyle w:val="000000000000" w:firstRow="0" w:lastRow="0" w:firstColumn="0" w:lastColumn="0" w:oddVBand="0" w:evenVBand="0" w:oddHBand="0" w:evenHBand="0" w:firstRowFirstColumn="0" w:firstRowLastColumn="0" w:lastRowFirstColumn="0" w:lastRowLastColumn="0"/>
            </w:pPr>
            <w:r>
              <w:t>75</w:t>
            </w:r>
            <w:r w:rsidR="006F061F">
              <w:t>.0%</w:t>
            </w:r>
          </w:p>
        </w:tc>
        <w:tc>
          <w:tcPr>
            <w:tcW w:w="1063" w:type="dxa"/>
          </w:tcPr>
          <w:p w:rsidR="005B711D" w:rsidP="005B711D" w:rsidRDefault="005B711D" w14:paraId="2CBF92BE" w14:textId="3C2B5B03">
            <w:pPr>
              <w:cnfStyle w:val="000000000000" w:firstRow="0" w:lastRow="0" w:firstColumn="0" w:lastColumn="0" w:oddVBand="0" w:evenVBand="0" w:oddHBand="0" w:evenHBand="0" w:firstRowFirstColumn="0" w:firstRowLastColumn="0" w:lastRowFirstColumn="0" w:lastRowLastColumn="0"/>
            </w:pPr>
            <w:r>
              <w:t>83.1</w:t>
            </w:r>
            <w:r w:rsidR="006F061F">
              <w:t>%</w:t>
            </w:r>
          </w:p>
        </w:tc>
        <w:tc>
          <w:tcPr>
            <w:tcW w:w="1063" w:type="dxa"/>
          </w:tcPr>
          <w:p w:rsidR="005B711D" w:rsidP="005B711D" w:rsidRDefault="005B711D" w14:paraId="4C6D4B41" w14:textId="02A05AEC">
            <w:pPr>
              <w:cnfStyle w:val="000000000000" w:firstRow="0" w:lastRow="0" w:firstColumn="0" w:lastColumn="0" w:oddVBand="0" w:evenVBand="0" w:oddHBand="0" w:evenHBand="0" w:firstRowFirstColumn="0" w:firstRowLastColumn="0" w:lastRowFirstColumn="0" w:lastRowLastColumn="0"/>
            </w:pPr>
            <w:r>
              <w:t>86.9</w:t>
            </w:r>
            <w:r w:rsidR="006F061F">
              <w:t>%</w:t>
            </w:r>
          </w:p>
        </w:tc>
        <w:tc>
          <w:tcPr>
            <w:tcW w:w="1036" w:type="dxa"/>
          </w:tcPr>
          <w:p w:rsidR="005B711D" w:rsidP="005B711D" w:rsidRDefault="005B711D" w14:paraId="17ECDA5A" w14:textId="34DA3245">
            <w:pPr>
              <w:cnfStyle w:val="000000000000" w:firstRow="0" w:lastRow="0" w:firstColumn="0" w:lastColumn="0" w:oddVBand="0" w:evenVBand="0" w:oddHBand="0" w:evenHBand="0" w:firstRowFirstColumn="0" w:firstRowLastColumn="0" w:lastRowFirstColumn="0" w:lastRowLastColumn="0"/>
            </w:pPr>
            <w:r>
              <w:t>79.3</w:t>
            </w:r>
            <w:r w:rsidR="006F061F">
              <w:t>%</w:t>
            </w:r>
          </w:p>
        </w:tc>
      </w:tr>
      <w:tr w:rsidR="005D0A2D" w:rsidTr="005D0A2D" w14:paraId="1B47C8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4" w:type="dxa"/>
          </w:tcPr>
          <w:p w:rsidRPr="006F061F" w:rsidR="005B711D" w:rsidP="005B711D" w:rsidRDefault="005B711D" w14:paraId="741C8D16" w14:textId="77777777"/>
        </w:tc>
        <w:tc>
          <w:tcPr>
            <w:tcW w:w="1485" w:type="dxa"/>
            <w:shd w:val="clear" w:color="auto" w:fill="5B9BD5" w:themeFill="accent5"/>
          </w:tcPr>
          <w:p w:rsidRPr="006F061F" w:rsidR="005B711D" w:rsidP="005B711D" w:rsidRDefault="005B711D" w14:paraId="065D698D" w14:textId="2BD7D765">
            <w:pPr>
              <w:cnfStyle w:val="000000100000" w:firstRow="0" w:lastRow="0" w:firstColumn="0" w:lastColumn="0" w:oddVBand="0" w:evenVBand="0" w:oddHBand="1" w:evenHBand="0" w:firstRowFirstColumn="0" w:firstRowLastColumn="0" w:lastRowFirstColumn="0" w:lastRowLastColumn="0"/>
              <w:rPr>
                <w:color w:val="FFFFFF" w:themeColor="background1"/>
              </w:rPr>
            </w:pPr>
            <w:r w:rsidRPr="006F061F">
              <w:rPr>
                <w:color w:val="FFFFFF" w:themeColor="background1"/>
              </w:rPr>
              <w:t>Non-LPN</w:t>
            </w:r>
          </w:p>
        </w:tc>
        <w:tc>
          <w:tcPr>
            <w:tcW w:w="1075" w:type="dxa"/>
            <w:shd w:val="clear" w:color="auto" w:fill="DEEAF6" w:themeFill="accent5" w:themeFillTint="33"/>
          </w:tcPr>
          <w:p w:rsidR="005B711D" w:rsidP="005B711D" w:rsidRDefault="005B711D" w14:paraId="48A6F0B5" w14:textId="00EB8AFA">
            <w:pPr>
              <w:cnfStyle w:val="000000100000" w:firstRow="0" w:lastRow="0" w:firstColumn="0" w:lastColumn="0" w:oddVBand="0" w:evenVBand="0" w:oddHBand="1" w:evenHBand="0" w:firstRowFirstColumn="0" w:firstRowLastColumn="0" w:lastRowFirstColumn="0" w:lastRowLastColumn="0"/>
            </w:pPr>
            <w:r>
              <w:t>73.8</w:t>
            </w:r>
            <w:r w:rsidR="006F061F">
              <w:t>%</w:t>
            </w:r>
          </w:p>
        </w:tc>
        <w:tc>
          <w:tcPr>
            <w:tcW w:w="1075" w:type="dxa"/>
            <w:shd w:val="clear" w:color="auto" w:fill="DEEAF6" w:themeFill="accent5" w:themeFillTint="33"/>
          </w:tcPr>
          <w:p w:rsidR="005B711D" w:rsidP="005B711D" w:rsidRDefault="005B711D" w14:paraId="476D2938" w14:textId="0042699A">
            <w:pPr>
              <w:cnfStyle w:val="000000100000" w:firstRow="0" w:lastRow="0" w:firstColumn="0" w:lastColumn="0" w:oddVBand="0" w:evenVBand="0" w:oddHBand="1" w:evenHBand="0" w:firstRowFirstColumn="0" w:firstRowLastColumn="0" w:lastRowFirstColumn="0" w:lastRowLastColumn="0"/>
            </w:pPr>
            <w:r>
              <w:t>75.7</w:t>
            </w:r>
            <w:r w:rsidR="006F061F">
              <w:t>%</w:t>
            </w:r>
          </w:p>
        </w:tc>
        <w:tc>
          <w:tcPr>
            <w:tcW w:w="1075" w:type="dxa"/>
            <w:shd w:val="clear" w:color="auto" w:fill="DEEAF6" w:themeFill="accent5" w:themeFillTint="33"/>
          </w:tcPr>
          <w:p w:rsidR="005B711D" w:rsidP="005B711D" w:rsidRDefault="005B711D" w14:paraId="41D31E8A" w14:textId="5655FF2E">
            <w:pPr>
              <w:cnfStyle w:val="000000100000" w:firstRow="0" w:lastRow="0" w:firstColumn="0" w:lastColumn="0" w:oddVBand="0" w:evenVBand="0" w:oddHBand="1" w:evenHBand="0" w:firstRowFirstColumn="0" w:firstRowLastColumn="0" w:lastRowFirstColumn="0" w:lastRowLastColumn="0"/>
            </w:pPr>
            <w:r>
              <w:t>72.7</w:t>
            </w:r>
            <w:r w:rsidR="006F061F">
              <w:t>%</w:t>
            </w:r>
          </w:p>
        </w:tc>
        <w:tc>
          <w:tcPr>
            <w:tcW w:w="1063" w:type="dxa"/>
            <w:shd w:val="clear" w:color="auto" w:fill="DEEAF6" w:themeFill="accent5" w:themeFillTint="33"/>
          </w:tcPr>
          <w:p w:rsidR="005B711D" w:rsidP="005B711D" w:rsidRDefault="005B711D" w14:paraId="5B475BC3" w14:textId="46429023">
            <w:pPr>
              <w:cnfStyle w:val="000000100000" w:firstRow="0" w:lastRow="0" w:firstColumn="0" w:lastColumn="0" w:oddVBand="0" w:evenVBand="0" w:oddHBand="1" w:evenHBand="0" w:firstRowFirstColumn="0" w:firstRowLastColumn="0" w:lastRowFirstColumn="0" w:lastRowLastColumn="0"/>
            </w:pPr>
            <w:r>
              <w:t>79.5</w:t>
            </w:r>
            <w:r w:rsidR="006F061F">
              <w:t>%</w:t>
            </w:r>
          </w:p>
        </w:tc>
        <w:tc>
          <w:tcPr>
            <w:tcW w:w="1063" w:type="dxa"/>
            <w:shd w:val="clear" w:color="auto" w:fill="DEEAF6" w:themeFill="accent5" w:themeFillTint="33"/>
          </w:tcPr>
          <w:p w:rsidR="005B711D" w:rsidP="005B711D" w:rsidRDefault="005B711D" w14:paraId="5B983A8E" w14:textId="5CCCB8CB">
            <w:pPr>
              <w:cnfStyle w:val="000000100000" w:firstRow="0" w:lastRow="0" w:firstColumn="0" w:lastColumn="0" w:oddVBand="0" w:evenVBand="0" w:oddHBand="1" w:evenHBand="0" w:firstRowFirstColumn="0" w:firstRowLastColumn="0" w:lastRowFirstColumn="0" w:lastRowLastColumn="0"/>
            </w:pPr>
            <w:r>
              <w:t>78.6</w:t>
            </w:r>
            <w:r w:rsidR="006F061F">
              <w:t>%</w:t>
            </w:r>
          </w:p>
        </w:tc>
        <w:tc>
          <w:tcPr>
            <w:tcW w:w="1036" w:type="dxa"/>
            <w:shd w:val="clear" w:color="auto" w:fill="DEEAF6" w:themeFill="accent5" w:themeFillTint="33"/>
          </w:tcPr>
          <w:p w:rsidR="005B711D" w:rsidP="005B711D" w:rsidRDefault="005B711D" w14:paraId="7A0B36F2" w14:textId="31C74879">
            <w:pPr>
              <w:cnfStyle w:val="000000100000" w:firstRow="0" w:lastRow="0" w:firstColumn="0" w:lastColumn="0" w:oddVBand="0" w:evenVBand="0" w:oddHBand="1" w:evenHBand="0" w:firstRowFirstColumn="0" w:firstRowLastColumn="0" w:lastRowFirstColumn="0" w:lastRowLastColumn="0"/>
            </w:pPr>
            <w:r>
              <w:t>76.1</w:t>
            </w:r>
            <w:r w:rsidR="006F061F">
              <w:t>%</w:t>
            </w:r>
          </w:p>
        </w:tc>
      </w:tr>
    </w:tbl>
    <w:p w:rsidRPr="00140024" w:rsidR="00B24539" w:rsidP="00940121" w:rsidRDefault="00B24539" w14:paraId="47A7BE1A" w14:textId="0FCA5BD5">
      <w:pPr>
        <w:pStyle w:val="NormalWeb"/>
        <w:spacing w:before="0" w:beforeAutospacing="0" w:after="0" w:afterAutospacing="0"/>
        <w:jc w:val="center"/>
        <w:rPr>
          <w:rFonts w:eastAsia="Times New Roman"/>
          <w:bCs/>
          <w:i/>
          <w:iCs/>
          <w:color w:val="000000"/>
          <w:sz w:val="20"/>
          <w:szCs w:val="20"/>
        </w:rPr>
      </w:pPr>
      <w:bookmarkStart w:name="_Hlk119396138" w:id="3"/>
      <w:bookmarkEnd w:id="2"/>
      <w:r w:rsidRPr="00940121">
        <w:rPr>
          <w:rFonts w:asciiTheme="minorHAnsi" w:hAnsiTheme="minorHAnsi" w:cstheme="minorHAnsi"/>
          <w:b/>
          <w:bCs/>
          <w:i/>
          <w:iCs/>
          <w:color w:val="000000" w:themeColor="text1"/>
          <w:sz w:val="20"/>
          <w:szCs w:val="20"/>
        </w:rPr>
        <w:t xml:space="preserve">Table </w:t>
      </w:r>
      <w:r w:rsidRPr="00940121" w:rsidR="00D81230">
        <w:rPr>
          <w:rFonts w:asciiTheme="minorHAnsi" w:hAnsiTheme="minorHAnsi" w:cstheme="minorHAnsi"/>
          <w:b/>
          <w:bCs/>
          <w:i/>
          <w:iCs/>
          <w:color w:val="000000" w:themeColor="text1"/>
          <w:sz w:val="20"/>
          <w:szCs w:val="20"/>
        </w:rPr>
        <w:t>2</w:t>
      </w:r>
      <w:r w:rsidR="00940121">
        <w:rPr>
          <w:rFonts w:asciiTheme="minorHAnsi" w:hAnsiTheme="minorHAnsi" w:cstheme="minorHAnsi"/>
          <w:bCs/>
          <w:i/>
          <w:iCs/>
          <w:color w:val="000000" w:themeColor="text1"/>
          <w:sz w:val="20"/>
          <w:szCs w:val="20"/>
        </w:rPr>
        <w:t>:</w:t>
      </w:r>
      <w:r w:rsidR="00F557A8">
        <w:rPr>
          <w:rFonts w:eastAsia="Times New Roman"/>
          <w:bCs/>
          <w:i/>
          <w:iCs/>
          <w:color w:val="000000"/>
          <w:sz w:val="20"/>
          <w:szCs w:val="20"/>
        </w:rPr>
        <w:t xml:space="preserve"> </w:t>
      </w:r>
      <w:r w:rsidRPr="00DD021B" w:rsidR="00F557A8">
        <w:rPr>
          <w:rFonts w:asciiTheme="minorHAnsi" w:hAnsiTheme="minorHAnsi" w:cstheme="minorHAnsi"/>
          <w:bCs/>
          <w:i/>
          <w:iCs/>
          <w:color w:val="000000" w:themeColor="text1"/>
          <w:sz w:val="20"/>
          <w:szCs w:val="20"/>
          <w:shd w:val="clear" w:color="auto" w:fill="FFFFFF"/>
        </w:rPr>
        <w:t xml:space="preserve">Percentage of students awarded good honours </w:t>
      </w:r>
      <w:r w:rsidR="00F557A8">
        <w:rPr>
          <w:rFonts w:asciiTheme="minorHAnsi" w:hAnsiTheme="minorHAnsi" w:cstheme="minorHAnsi"/>
          <w:bCs/>
          <w:i/>
          <w:iCs/>
          <w:color w:val="000000" w:themeColor="text1"/>
          <w:sz w:val="20"/>
          <w:szCs w:val="20"/>
          <w:shd w:val="clear" w:color="auto" w:fill="FFFFFF"/>
        </w:rPr>
        <w:t>degrees</w:t>
      </w:r>
      <w:r w:rsidRPr="00DD021B" w:rsidR="00F557A8">
        <w:rPr>
          <w:rFonts w:asciiTheme="minorHAnsi" w:hAnsiTheme="minorHAnsi" w:cstheme="minorHAnsi"/>
          <w:bCs/>
          <w:i/>
          <w:iCs/>
          <w:color w:val="000000" w:themeColor="text1"/>
          <w:sz w:val="20"/>
          <w:szCs w:val="20"/>
          <w:shd w:val="clear" w:color="auto" w:fill="FFFFFF"/>
        </w:rPr>
        <w:t xml:space="preserve"> from academic years 2016/17 to 202</w:t>
      </w:r>
      <w:r w:rsidR="00F557A8">
        <w:rPr>
          <w:rFonts w:asciiTheme="minorHAnsi" w:hAnsiTheme="minorHAnsi" w:cstheme="minorHAnsi"/>
          <w:bCs/>
          <w:i/>
          <w:iCs/>
          <w:color w:val="000000" w:themeColor="text1"/>
          <w:sz w:val="20"/>
          <w:szCs w:val="20"/>
          <w:shd w:val="clear" w:color="auto" w:fill="FFFFFF"/>
        </w:rPr>
        <w:t>0</w:t>
      </w:r>
      <w:r w:rsidRPr="00DD021B" w:rsidR="00F557A8">
        <w:rPr>
          <w:rFonts w:asciiTheme="minorHAnsi" w:hAnsiTheme="minorHAnsi" w:cstheme="minorHAnsi"/>
          <w:bCs/>
          <w:i/>
          <w:iCs/>
          <w:color w:val="000000" w:themeColor="text1"/>
          <w:sz w:val="20"/>
          <w:szCs w:val="20"/>
          <w:shd w:val="clear" w:color="auto" w:fill="FFFFFF"/>
        </w:rPr>
        <w:t>/2</w:t>
      </w:r>
      <w:r w:rsidR="00F557A8">
        <w:rPr>
          <w:rFonts w:asciiTheme="minorHAnsi" w:hAnsiTheme="minorHAnsi" w:cstheme="minorHAnsi"/>
          <w:bCs/>
          <w:i/>
          <w:iCs/>
          <w:color w:val="000000" w:themeColor="text1"/>
          <w:sz w:val="20"/>
          <w:szCs w:val="20"/>
          <w:shd w:val="clear" w:color="auto" w:fill="FFFFFF"/>
        </w:rPr>
        <w:t>1 by</w:t>
      </w:r>
      <w:r w:rsidRPr="00DD021B" w:rsidR="00F557A8">
        <w:rPr>
          <w:rFonts w:asciiTheme="minorHAnsi" w:hAnsiTheme="minorHAnsi" w:cstheme="minorHAnsi"/>
          <w:bCs/>
          <w:i/>
          <w:iCs/>
          <w:color w:val="000000" w:themeColor="text1"/>
          <w:sz w:val="20"/>
          <w:szCs w:val="20"/>
          <w:shd w:val="clear" w:color="auto" w:fill="FFFFFF"/>
        </w:rPr>
        <w:t xml:space="preserve"> </w:t>
      </w:r>
      <w:r w:rsidR="00F557A8">
        <w:rPr>
          <w:rFonts w:asciiTheme="minorHAnsi" w:hAnsiTheme="minorHAnsi" w:cstheme="minorHAnsi"/>
          <w:bCs/>
          <w:i/>
          <w:iCs/>
          <w:color w:val="000000" w:themeColor="text1"/>
          <w:sz w:val="20"/>
          <w:szCs w:val="20"/>
          <w:shd w:val="clear" w:color="auto" w:fill="FFFFFF"/>
        </w:rPr>
        <w:t>d</w:t>
      </w:r>
      <w:r w:rsidRPr="00140024">
        <w:rPr>
          <w:rFonts w:eastAsia="Times New Roman"/>
          <w:bCs/>
          <w:i/>
          <w:iCs/>
          <w:color w:val="000000"/>
          <w:sz w:val="20"/>
          <w:szCs w:val="20"/>
        </w:rPr>
        <w:t xml:space="preserve">emographic </w:t>
      </w:r>
      <w:r w:rsidR="00F557A8">
        <w:rPr>
          <w:rFonts w:eastAsia="Times New Roman"/>
          <w:bCs/>
          <w:i/>
          <w:iCs/>
          <w:color w:val="000000"/>
          <w:sz w:val="20"/>
          <w:szCs w:val="20"/>
        </w:rPr>
        <w:t>g</w:t>
      </w:r>
      <w:r w:rsidRPr="00140024">
        <w:rPr>
          <w:rFonts w:eastAsia="Times New Roman"/>
          <w:bCs/>
          <w:i/>
          <w:iCs/>
          <w:color w:val="000000"/>
          <w:sz w:val="20"/>
          <w:szCs w:val="20"/>
        </w:rPr>
        <w:t>roup</w:t>
      </w:r>
    </w:p>
    <w:bookmarkEnd w:id="3"/>
    <w:p w:rsidR="00200A19" w:rsidP="00CE4CF1" w:rsidRDefault="00200A19" w14:paraId="064753CD" w14:textId="77777777">
      <w:pPr>
        <w:pStyle w:val="Heading4"/>
        <w:shd w:val="clear" w:color="auto" w:fill="FFFFFF" w:themeFill="background1"/>
        <w:spacing w:before="0" w:beforeAutospacing="0" w:after="0" w:afterAutospacing="0"/>
        <w:jc w:val="both"/>
        <w:rPr>
          <w:color w:val="000000" w:themeColor="text1"/>
        </w:rPr>
      </w:pPr>
    </w:p>
    <w:p w:rsidRPr="005C40B7" w:rsidR="00173F9B" w:rsidP="00EB6F16" w:rsidRDefault="00173F9B" w14:paraId="63C61639" w14:textId="1FBEE42C">
      <w:pPr>
        <w:pStyle w:val="Style1"/>
        <w:rPr>
          <w:bCs/>
        </w:rPr>
      </w:pPr>
      <w:bookmarkStart w:name="_Toc119251341" w:id="4"/>
      <w:r w:rsidRPr="005C40B7">
        <w:t xml:space="preserve">Section </w:t>
      </w:r>
      <w:r w:rsidR="0049658E">
        <w:rPr>
          <w:bCs/>
        </w:rPr>
        <w:t xml:space="preserve">2 </w:t>
      </w:r>
      <w:r>
        <w:t>Changes to our degree classification algorithms</w:t>
      </w:r>
      <w:bookmarkEnd w:id="4"/>
      <w:r w:rsidRPr="005C40B7">
        <w:tab/>
      </w:r>
    </w:p>
    <w:p w:rsidR="00173F9B" w:rsidP="00CE4CF1" w:rsidRDefault="006F061F" w14:paraId="741FAC2E" w14:textId="49EBADA4">
      <w:pPr>
        <w:pStyle w:val="Heading4"/>
        <w:shd w:val="clear" w:color="auto" w:fill="FFFFFF" w:themeFill="background1"/>
        <w:spacing w:before="0" w:beforeAutospacing="0" w:after="0" w:afterAutospacing="0"/>
        <w:rPr>
          <w:b w:val="0"/>
          <w:color w:val="000000" w:themeColor="text1"/>
          <w:sz w:val="22"/>
          <w:szCs w:val="22"/>
        </w:rPr>
      </w:pPr>
      <w:r>
        <w:rPr>
          <w:rFonts w:asciiTheme="minorHAnsi" w:hAnsiTheme="minorHAnsi" w:cstheme="minorHAnsi"/>
          <w:b w:val="0"/>
          <w:color w:val="000000" w:themeColor="text1"/>
          <w:sz w:val="22"/>
          <w:szCs w:val="22"/>
        </w:rPr>
        <w:t xml:space="preserve">In 2014/15 St Mary’s good honours outcomes were 7.1% lower than that of institutions in the London area and were 9.1 percentage points lower in 2015/2016. </w:t>
      </w:r>
      <w:r>
        <w:rPr>
          <w:b w:val="0"/>
          <w:sz w:val="22"/>
          <w:szCs w:val="22"/>
        </w:rPr>
        <w:t xml:space="preserve">It was recognised that the University’s existing algorithms (inherited from its validating University) had become outmoded, and no longer reflected good practice. </w:t>
      </w:r>
      <w:r w:rsidRPr="0069659F">
        <w:rPr>
          <w:rFonts w:asciiTheme="minorHAnsi" w:hAnsiTheme="minorHAnsi" w:cstheme="minorHAnsi"/>
          <w:b w:val="0"/>
          <w:color w:val="000000" w:themeColor="text1"/>
          <w:sz w:val="22"/>
          <w:szCs w:val="22"/>
        </w:rPr>
        <w:t>In 2016/17</w:t>
      </w:r>
      <w:r>
        <w:rPr>
          <w:rFonts w:asciiTheme="minorHAnsi" w:hAnsiTheme="minorHAnsi" w:cstheme="minorHAnsi"/>
          <w:b w:val="0"/>
          <w:color w:val="000000" w:themeColor="text1"/>
          <w:sz w:val="22"/>
          <w:szCs w:val="22"/>
        </w:rPr>
        <w:t>,</w:t>
      </w:r>
      <w:r w:rsidRPr="0069659F">
        <w:rPr>
          <w:rFonts w:asciiTheme="minorHAnsi" w:hAnsiTheme="minorHAnsi" w:cstheme="minorHAnsi"/>
          <w:b w:val="0"/>
          <w:color w:val="000000" w:themeColor="text1"/>
          <w:sz w:val="22"/>
          <w:szCs w:val="22"/>
        </w:rPr>
        <w:t xml:space="preserve"> </w:t>
      </w:r>
      <w:r>
        <w:rPr>
          <w:rFonts w:asciiTheme="minorHAnsi" w:hAnsiTheme="minorHAnsi" w:cstheme="minorHAnsi"/>
          <w:b w:val="0"/>
          <w:color w:val="000000" w:themeColor="text1"/>
          <w:sz w:val="22"/>
          <w:szCs w:val="22"/>
        </w:rPr>
        <w:t xml:space="preserve">following extensive research, data analysis and consultation with sector experts, </w:t>
      </w:r>
      <w:r w:rsidRPr="0069659F">
        <w:rPr>
          <w:rFonts w:asciiTheme="minorHAnsi" w:hAnsiTheme="minorHAnsi" w:cstheme="minorHAnsi"/>
          <w:b w:val="0"/>
          <w:color w:val="000000" w:themeColor="text1"/>
          <w:sz w:val="22"/>
          <w:szCs w:val="22"/>
        </w:rPr>
        <w:t xml:space="preserve">St Mary's University </w:t>
      </w:r>
      <w:r>
        <w:rPr>
          <w:rFonts w:asciiTheme="minorHAnsi" w:hAnsiTheme="minorHAnsi" w:cstheme="minorHAnsi"/>
          <w:b w:val="0"/>
          <w:color w:val="000000" w:themeColor="text1"/>
          <w:sz w:val="22"/>
          <w:szCs w:val="22"/>
        </w:rPr>
        <w:t xml:space="preserve">adjusted </w:t>
      </w:r>
      <w:r w:rsidRPr="0069659F">
        <w:rPr>
          <w:rFonts w:asciiTheme="minorHAnsi" w:hAnsiTheme="minorHAnsi" w:cstheme="minorHAnsi"/>
          <w:b w:val="0"/>
          <w:color w:val="000000" w:themeColor="text1"/>
          <w:sz w:val="22"/>
          <w:szCs w:val="22"/>
        </w:rPr>
        <w:t xml:space="preserve">the </w:t>
      </w:r>
      <w:r>
        <w:rPr>
          <w:rFonts w:asciiTheme="minorHAnsi" w:hAnsiTheme="minorHAnsi" w:cstheme="minorHAnsi"/>
          <w:b w:val="0"/>
          <w:color w:val="000000" w:themeColor="text1"/>
          <w:sz w:val="22"/>
          <w:szCs w:val="22"/>
        </w:rPr>
        <w:t xml:space="preserve">classification </w:t>
      </w:r>
      <w:r w:rsidRPr="0069659F">
        <w:rPr>
          <w:rFonts w:asciiTheme="minorHAnsi" w:hAnsiTheme="minorHAnsi" w:cstheme="minorHAnsi"/>
          <w:b w:val="0"/>
          <w:color w:val="000000" w:themeColor="text1"/>
          <w:sz w:val="22"/>
          <w:szCs w:val="22"/>
        </w:rPr>
        <w:t>algorithm</w:t>
      </w:r>
      <w:r>
        <w:rPr>
          <w:rFonts w:asciiTheme="minorHAnsi" w:hAnsiTheme="minorHAnsi" w:cstheme="minorHAnsi"/>
          <w:b w:val="0"/>
          <w:color w:val="000000" w:themeColor="text1"/>
          <w:sz w:val="22"/>
          <w:szCs w:val="22"/>
        </w:rPr>
        <w:t>s it used</w:t>
      </w:r>
      <w:r w:rsidRPr="0069659F">
        <w:rPr>
          <w:rFonts w:asciiTheme="minorHAnsi" w:hAnsiTheme="minorHAnsi" w:cstheme="minorHAnsi"/>
          <w:b w:val="0"/>
          <w:color w:val="000000" w:themeColor="text1"/>
          <w:sz w:val="22"/>
          <w:szCs w:val="22"/>
        </w:rPr>
        <w:t xml:space="preserve"> to determine award classifications</w:t>
      </w:r>
      <w:r>
        <w:rPr>
          <w:rFonts w:asciiTheme="minorHAnsi" w:hAnsiTheme="minorHAnsi" w:cstheme="minorHAnsi"/>
          <w:b w:val="0"/>
          <w:color w:val="000000" w:themeColor="text1"/>
          <w:sz w:val="22"/>
          <w:szCs w:val="22"/>
        </w:rPr>
        <w:t xml:space="preserve"> in order to bring them into alignment with practice in the higher education sector. </w:t>
      </w:r>
      <w:r>
        <w:rPr>
          <w:b w:val="0"/>
          <w:sz w:val="22"/>
          <w:szCs w:val="22"/>
        </w:rPr>
        <w:t xml:space="preserve">Consequently, the review resulted in </w:t>
      </w:r>
      <w:hyperlink w:history="1" r:id="rId16">
        <w:r w:rsidRPr="00B70B70">
          <w:rPr>
            <w:rStyle w:val="Hyperlink"/>
            <w:b w:val="0"/>
            <w:sz w:val="22"/>
            <w:szCs w:val="22"/>
          </w:rPr>
          <w:t>new degree classification algorithms</w:t>
        </w:r>
      </w:hyperlink>
      <w:r w:rsidRPr="00B70B70">
        <w:rPr>
          <w:b w:val="0"/>
          <w:color w:val="000000" w:themeColor="text1"/>
          <w:sz w:val="22"/>
          <w:szCs w:val="22"/>
        </w:rPr>
        <w:t xml:space="preserve"> </w:t>
      </w:r>
      <w:r>
        <w:rPr>
          <w:b w:val="0"/>
          <w:sz w:val="22"/>
          <w:szCs w:val="22"/>
        </w:rPr>
        <w:t xml:space="preserve">being </w:t>
      </w:r>
      <w:r w:rsidRPr="00424155">
        <w:rPr>
          <w:b w:val="0"/>
          <w:sz w:val="22"/>
          <w:szCs w:val="22"/>
        </w:rPr>
        <w:t>applied for the first time for finalists</w:t>
      </w:r>
      <w:r>
        <w:rPr>
          <w:b w:val="0"/>
          <w:sz w:val="22"/>
          <w:szCs w:val="22"/>
        </w:rPr>
        <w:t xml:space="preserve"> in summer 2017. </w:t>
      </w:r>
      <w:r w:rsidRPr="00B40879">
        <w:rPr>
          <w:b w:val="0"/>
          <w:sz w:val="22"/>
          <w:szCs w:val="22"/>
        </w:rPr>
        <w:t>As a result of the</w:t>
      </w:r>
      <w:r>
        <w:rPr>
          <w:b w:val="0"/>
          <w:sz w:val="22"/>
          <w:szCs w:val="22"/>
        </w:rPr>
        <w:t xml:space="preserve">se </w:t>
      </w:r>
      <w:r w:rsidRPr="00C331AF">
        <w:rPr>
          <w:b w:val="0"/>
          <w:sz w:val="22"/>
          <w:szCs w:val="22"/>
        </w:rPr>
        <w:t>adjustments</w:t>
      </w:r>
      <w:r w:rsidRPr="00C331AF">
        <w:rPr>
          <w:rFonts w:asciiTheme="minorHAnsi" w:hAnsiTheme="minorHAnsi" w:cstheme="minorHAnsi"/>
          <w:b w:val="0"/>
          <w:sz w:val="22"/>
          <w:szCs w:val="22"/>
        </w:rPr>
        <w:t xml:space="preserve">, </w:t>
      </w:r>
      <w:r w:rsidRPr="00B40879">
        <w:rPr>
          <w:b w:val="0"/>
          <w:sz w:val="22"/>
          <w:szCs w:val="22"/>
        </w:rPr>
        <w:t xml:space="preserve">the overall proportion of good honours outcomes in 2016/17 </w:t>
      </w:r>
      <w:r>
        <w:rPr>
          <w:b w:val="0"/>
          <w:sz w:val="22"/>
          <w:szCs w:val="22"/>
        </w:rPr>
        <w:t>came into closer alignment</w:t>
      </w:r>
      <w:r w:rsidRPr="00B40879">
        <w:rPr>
          <w:b w:val="0"/>
          <w:sz w:val="22"/>
          <w:szCs w:val="22"/>
        </w:rPr>
        <w:t xml:space="preserve"> with the sector average</w:t>
      </w:r>
      <w:r w:rsidRPr="00BD0803">
        <w:rPr>
          <w:b w:val="0"/>
          <w:color w:val="000000" w:themeColor="text1"/>
          <w:sz w:val="22"/>
          <w:szCs w:val="22"/>
        </w:rPr>
        <w:t>.</w:t>
      </w:r>
      <w:r>
        <w:rPr>
          <w:b w:val="0"/>
          <w:color w:val="000000" w:themeColor="text1"/>
          <w:sz w:val="22"/>
          <w:szCs w:val="22"/>
        </w:rPr>
        <w:t xml:space="preserve"> </w:t>
      </w:r>
    </w:p>
    <w:p w:rsidR="006F061F" w:rsidP="00CE4CF1" w:rsidRDefault="006F061F" w14:paraId="7B982083" w14:textId="77777777">
      <w:pPr>
        <w:pStyle w:val="Heading4"/>
        <w:shd w:val="clear" w:color="auto" w:fill="FFFFFF" w:themeFill="background1"/>
        <w:spacing w:before="0" w:beforeAutospacing="0" w:after="0" w:afterAutospacing="0"/>
        <w:rPr>
          <w:b w:val="0"/>
          <w:sz w:val="22"/>
          <w:szCs w:val="22"/>
        </w:rPr>
      </w:pPr>
    </w:p>
    <w:p w:rsidRPr="00A40512" w:rsidR="004559B7" w:rsidP="00CE4CF1" w:rsidRDefault="00424155" w14:paraId="55B91DCC" w14:textId="69545903">
      <w:pPr>
        <w:pStyle w:val="Heading4"/>
        <w:shd w:val="clear" w:color="auto" w:fill="FFFFFF" w:themeFill="background1"/>
        <w:spacing w:before="0" w:beforeAutospacing="0" w:after="0" w:afterAutospacing="0"/>
        <w:rPr>
          <w:b w:val="0"/>
          <w:sz w:val="22"/>
          <w:szCs w:val="22"/>
        </w:rPr>
      </w:pPr>
      <w:r w:rsidRPr="00424155">
        <w:rPr>
          <w:b w:val="0"/>
          <w:sz w:val="22"/>
          <w:szCs w:val="22"/>
          <w:lang w:eastAsia="en-US"/>
        </w:rPr>
        <w:t xml:space="preserve">In </w:t>
      </w:r>
      <w:r w:rsidR="0049658E">
        <w:rPr>
          <w:b w:val="0"/>
          <w:sz w:val="22"/>
          <w:szCs w:val="22"/>
          <w:lang w:eastAsia="en-US"/>
        </w:rPr>
        <w:t xml:space="preserve">response to the COVID pandemic, the </w:t>
      </w:r>
      <w:r w:rsidRPr="00424155">
        <w:rPr>
          <w:b w:val="0"/>
          <w:sz w:val="22"/>
          <w:szCs w:val="22"/>
          <w:lang w:eastAsia="en-US"/>
        </w:rPr>
        <w:t>University developed a comprehensive ‘No Detriment</w:t>
      </w:r>
      <w:r w:rsidR="00C331AF">
        <w:rPr>
          <w:b w:val="0"/>
          <w:sz w:val="22"/>
          <w:szCs w:val="22"/>
          <w:lang w:eastAsia="en-US"/>
        </w:rPr>
        <w:t>’ p</w:t>
      </w:r>
      <w:r w:rsidRPr="00424155">
        <w:rPr>
          <w:b w:val="0"/>
          <w:sz w:val="22"/>
          <w:szCs w:val="22"/>
          <w:lang w:eastAsia="en-US"/>
        </w:rPr>
        <w:t>olicy</w:t>
      </w:r>
      <w:r w:rsidR="00C331AF">
        <w:rPr>
          <w:b w:val="0"/>
          <w:sz w:val="22"/>
          <w:szCs w:val="22"/>
          <w:lang w:eastAsia="en-US"/>
        </w:rPr>
        <w:t xml:space="preserve"> </w:t>
      </w:r>
      <w:r w:rsidRPr="00424155">
        <w:rPr>
          <w:b w:val="0"/>
          <w:sz w:val="22"/>
          <w:szCs w:val="22"/>
          <w:lang w:eastAsia="en-US"/>
        </w:rPr>
        <w:t>in April 2020</w:t>
      </w:r>
      <w:r w:rsidR="004559B7">
        <w:rPr>
          <w:b w:val="0"/>
          <w:sz w:val="22"/>
          <w:szCs w:val="22"/>
          <w:lang w:eastAsia="en-US"/>
        </w:rPr>
        <w:t xml:space="preserve"> which included temporary </w:t>
      </w:r>
      <w:hyperlink w:history="1" r:id="rId17">
        <w:r w:rsidRPr="00B70B70" w:rsidR="004559B7">
          <w:rPr>
            <w:rStyle w:val="Hyperlink"/>
            <w:b w:val="0"/>
            <w:sz w:val="22"/>
            <w:szCs w:val="22"/>
            <w:lang w:eastAsia="en-US"/>
          </w:rPr>
          <w:t>adjustments to our degree classification algorithms</w:t>
        </w:r>
      </w:hyperlink>
      <w:r w:rsidRPr="00B70B70" w:rsidR="0049658E">
        <w:rPr>
          <w:b w:val="0"/>
          <w:color w:val="000000" w:themeColor="text1"/>
          <w:sz w:val="22"/>
          <w:szCs w:val="22"/>
          <w:lang w:eastAsia="en-US"/>
        </w:rPr>
        <w:t xml:space="preserve"> </w:t>
      </w:r>
      <w:r w:rsidR="0049658E">
        <w:rPr>
          <w:b w:val="0"/>
          <w:sz w:val="22"/>
          <w:szCs w:val="22"/>
          <w:lang w:eastAsia="en-US"/>
        </w:rPr>
        <w:t xml:space="preserve">in order to </w:t>
      </w:r>
      <w:r w:rsidR="004559B7">
        <w:rPr>
          <w:b w:val="0"/>
          <w:sz w:val="22"/>
          <w:szCs w:val="22"/>
          <w:lang w:eastAsia="en-US"/>
        </w:rPr>
        <w:t>minimis</w:t>
      </w:r>
      <w:r w:rsidR="0049658E">
        <w:rPr>
          <w:b w:val="0"/>
          <w:sz w:val="22"/>
          <w:szCs w:val="22"/>
          <w:lang w:eastAsia="en-US"/>
        </w:rPr>
        <w:t>e the</w:t>
      </w:r>
      <w:r w:rsidRPr="00424155" w:rsidR="004559B7">
        <w:rPr>
          <w:b w:val="0"/>
          <w:sz w:val="22"/>
          <w:szCs w:val="22"/>
          <w:lang w:eastAsia="en-US"/>
        </w:rPr>
        <w:t xml:space="preserve"> potential </w:t>
      </w:r>
      <w:r w:rsidR="0049658E">
        <w:rPr>
          <w:b w:val="0"/>
          <w:sz w:val="22"/>
          <w:szCs w:val="22"/>
          <w:lang w:eastAsia="en-US"/>
        </w:rPr>
        <w:t>i</w:t>
      </w:r>
      <w:r w:rsidRPr="00424155" w:rsidR="004559B7">
        <w:rPr>
          <w:b w:val="0"/>
          <w:sz w:val="22"/>
          <w:szCs w:val="22"/>
          <w:lang w:eastAsia="en-US"/>
        </w:rPr>
        <w:t>mpact on students’ performance</w:t>
      </w:r>
      <w:r w:rsidR="0049658E">
        <w:rPr>
          <w:b w:val="0"/>
          <w:sz w:val="22"/>
          <w:szCs w:val="22"/>
          <w:lang w:eastAsia="en-US"/>
        </w:rPr>
        <w:t>.</w:t>
      </w:r>
    </w:p>
    <w:p w:rsidR="004559B7" w:rsidP="00CE4CF1" w:rsidRDefault="004559B7" w14:paraId="6FA6ED58" w14:textId="70FD5E1A">
      <w:pPr>
        <w:pStyle w:val="Heading4"/>
        <w:shd w:val="clear" w:color="auto" w:fill="FFFFFF" w:themeFill="background1"/>
        <w:spacing w:before="0" w:beforeAutospacing="0" w:after="0" w:afterAutospacing="0"/>
        <w:rPr>
          <w:b w:val="0"/>
          <w:sz w:val="22"/>
          <w:szCs w:val="22"/>
          <w:lang w:eastAsia="en-US"/>
        </w:rPr>
      </w:pPr>
    </w:p>
    <w:p w:rsidR="002C1BD6" w:rsidP="00CE4CF1" w:rsidRDefault="00694059" w14:paraId="5F1C57D1" w14:textId="5EF468CF">
      <w:pPr>
        <w:pStyle w:val="Heading4"/>
        <w:shd w:val="clear" w:color="auto" w:fill="FFFFFF" w:themeFill="background1"/>
        <w:spacing w:before="0" w:beforeAutospacing="0" w:after="0" w:afterAutospacing="0"/>
        <w:rPr>
          <w:b w:val="0"/>
          <w:sz w:val="22"/>
          <w:szCs w:val="22"/>
          <w:lang w:eastAsia="en-US"/>
        </w:rPr>
      </w:pPr>
      <w:r>
        <w:rPr>
          <w:b w:val="0"/>
          <w:sz w:val="22"/>
          <w:szCs w:val="22"/>
          <w:lang w:eastAsia="en-US"/>
        </w:rPr>
        <w:t>As a result of changes to regulations, teaching delivery, assessment</w:t>
      </w:r>
      <w:r w:rsidR="0049658E">
        <w:rPr>
          <w:b w:val="0"/>
          <w:sz w:val="22"/>
          <w:szCs w:val="22"/>
          <w:lang w:eastAsia="en-US"/>
        </w:rPr>
        <w:t>,</w:t>
      </w:r>
      <w:r>
        <w:rPr>
          <w:b w:val="0"/>
          <w:sz w:val="22"/>
          <w:szCs w:val="22"/>
          <w:lang w:eastAsia="en-US"/>
        </w:rPr>
        <w:t xml:space="preserve"> and our classification algorithms, </w:t>
      </w:r>
      <w:r w:rsidR="0012072C">
        <w:rPr>
          <w:b w:val="0"/>
          <w:sz w:val="22"/>
          <w:szCs w:val="22"/>
          <w:lang w:eastAsia="en-US"/>
        </w:rPr>
        <w:t>St Mary’s saw an increase in good honours outcomes</w:t>
      </w:r>
      <w:r>
        <w:rPr>
          <w:b w:val="0"/>
          <w:sz w:val="22"/>
          <w:szCs w:val="22"/>
          <w:lang w:eastAsia="en-US"/>
        </w:rPr>
        <w:t xml:space="preserve">. As the COVID algorithms </w:t>
      </w:r>
      <w:r w:rsidRPr="00694059">
        <w:rPr>
          <w:rFonts w:asciiTheme="minorHAnsi" w:hAnsiTheme="minorHAnsi" w:cstheme="minorHAnsi"/>
          <w:b w:val="0"/>
          <w:color w:val="333333"/>
          <w:sz w:val="22"/>
          <w:szCs w:val="22"/>
          <w:shd w:val="clear" w:color="auto" w:fill="FFFFFF"/>
        </w:rPr>
        <w:t xml:space="preserve">covered semester 2 performance for students at level 5 </w:t>
      </w:r>
      <w:r w:rsidRPr="008168B6">
        <w:rPr>
          <w:rFonts w:asciiTheme="minorHAnsi" w:hAnsiTheme="minorHAnsi" w:cstheme="minorHAnsi"/>
          <w:b w:val="0"/>
          <w:color w:val="333333"/>
          <w:sz w:val="22"/>
          <w:szCs w:val="22"/>
          <w:u w:val="single"/>
          <w:shd w:val="clear" w:color="auto" w:fill="FFFFFF"/>
        </w:rPr>
        <w:t>and</w:t>
      </w:r>
      <w:r w:rsidRPr="00694059">
        <w:rPr>
          <w:rFonts w:asciiTheme="minorHAnsi" w:hAnsiTheme="minorHAnsi" w:cstheme="minorHAnsi"/>
          <w:b w:val="0"/>
          <w:color w:val="333333"/>
          <w:sz w:val="22"/>
          <w:szCs w:val="22"/>
          <w:shd w:val="clear" w:color="auto" w:fill="FFFFFF"/>
        </w:rPr>
        <w:t xml:space="preserve"> </w:t>
      </w:r>
      <w:r w:rsidR="008168B6">
        <w:rPr>
          <w:rFonts w:asciiTheme="minorHAnsi" w:hAnsiTheme="minorHAnsi" w:cstheme="minorHAnsi"/>
          <w:b w:val="0"/>
          <w:color w:val="333333"/>
          <w:sz w:val="22"/>
          <w:szCs w:val="22"/>
          <w:shd w:val="clear" w:color="auto" w:fill="FFFFFF"/>
        </w:rPr>
        <w:t xml:space="preserve">level </w:t>
      </w:r>
      <w:r w:rsidRPr="00694059">
        <w:rPr>
          <w:rFonts w:asciiTheme="minorHAnsi" w:hAnsiTheme="minorHAnsi" w:cstheme="minorHAnsi"/>
          <w:b w:val="0"/>
          <w:color w:val="333333"/>
          <w:sz w:val="22"/>
          <w:szCs w:val="22"/>
          <w:shd w:val="clear" w:color="auto" w:fill="FFFFFF"/>
        </w:rPr>
        <w:t>6 during the 19-20 academic year, there was an impact on degree outcomes for both 2019-20 and 2020-21</w:t>
      </w:r>
      <w:r w:rsidR="008168B6">
        <w:rPr>
          <w:rFonts w:asciiTheme="minorHAnsi" w:hAnsiTheme="minorHAnsi" w:cstheme="minorHAnsi"/>
          <w:b w:val="0"/>
          <w:color w:val="333333"/>
          <w:sz w:val="22"/>
          <w:szCs w:val="22"/>
          <w:shd w:val="clear" w:color="auto" w:fill="FFFFFF"/>
        </w:rPr>
        <w:t xml:space="preserve"> academic years</w:t>
      </w:r>
      <w:r w:rsidRPr="00694059">
        <w:rPr>
          <w:rFonts w:asciiTheme="minorHAnsi" w:hAnsiTheme="minorHAnsi" w:cstheme="minorHAnsi"/>
          <w:b w:val="0"/>
          <w:color w:val="333333"/>
          <w:sz w:val="22"/>
          <w:szCs w:val="22"/>
          <w:shd w:val="clear" w:color="auto" w:fill="FFFFFF"/>
        </w:rPr>
        <w:t>.</w:t>
      </w:r>
      <w:r>
        <w:rPr>
          <w:b w:val="0"/>
          <w:sz w:val="22"/>
          <w:szCs w:val="22"/>
          <w:lang w:eastAsia="en-US"/>
        </w:rPr>
        <w:t xml:space="preserve"> </w:t>
      </w:r>
      <w:r w:rsidR="0049658E">
        <w:rPr>
          <w:b w:val="0"/>
          <w:sz w:val="22"/>
          <w:szCs w:val="22"/>
          <w:lang w:eastAsia="en-US"/>
        </w:rPr>
        <w:t xml:space="preserve">Like many other universities, St Mary’s saw an </w:t>
      </w:r>
      <w:r>
        <w:rPr>
          <w:b w:val="0"/>
          <w:sz w:val="22"/>
          <w:szCs w:val="22"/>
          <w:lang w:eastAsia="en-US"/>
        </w:rPr>
        <w:t>increase</w:t>
      </w:r>
      <w:r w:rsidR="0049658E">
        <w:rPr>
          <w:b w:val="0"/>
          <w:sz w:val="22"/>
          <w:szCs w:val="22"/>
          <w:lang w:eastAsia="en-US"/>
        </w:rPr>
        <w:t xml:space="preserve">, or COVID related </w:t>
      </w:r>
      <w:r w:rsidR="004C7643">
        <w:rPr>
          <w:b w:val="0"/>
          <w:sz w:val="22"/>
          <w:szCs w:val="22"/>
          <w:lang w:eastAsia="en-US"/>
        </w:rPr>
        <w:t>‘</w:t>
      </w:r>
      <w:r w:rsidR="0049658E">
        <w:rPr>
          <w:b w:val="0"/>
          <w:sz w:val="22"/>
          <w:szCs w:val="22"/>
          <w:lang w:eastAsia="en-US"/>
        </w:rPr>
        <w:t>spike</w:t>
      </w:r>
      <w:r w:rsidR="004C7643">
        <w:rPr>
          <w:b w:val="0"/>
          <w:sz w:val="22"/>
          <w:szCs w:val="22"/>
          <w:lang w:eastAsia="en-US"/>
        </w:rPr>
        <w:t>’</w:t>
      </w:r>
      <w:r>
        <w:rPr>
          <w:b w:val="0"/>
          <w:sz w:val="22"/>
          <w:szCs w:val="22"/>
          <w:lang w:eastAsia="en-US"/>
        </w:rPr>
        <w:t xml:space="preserve"> in the proportion of good honours outcomes in </w:t>
      </w:r>
      <w:r w:rsidR="0012072C">
        <w:rPr>
          <w:b w:val="0"/>
          <w:sz w:val="22"/>
          <w:szCs w:val="22"/>
          <w:lang w:eastAsia="en-US"/>
        </w:rPr>
        <w:t>2019/20 and 2020/</w:t>
      </w:r>
      <w:r>
        <w:rPr>
          <w:b w:val="0"/>
          <w:sz w:val="22"/>
          <w:szCs w:val="22"/>
          <w:lang w:eastAsia="en-US"/>
        </w:rPr>
        <w:t xml:space="preserve">21. </w:t>
      </w:r>
    </w:p>
    <w:p w:rsidR="002C1BD6" w:rsidP="00CE4CF1" w:rsidRDefault="002C1BD6" w14:paraId="5D61DCCB" w14:textId="77777777">
      <w:pPr>
        <w:pStyle w:val="Heading4"/>
        <w:shd w:val="clear" w:color="auto" w:fill="FFFFFF" w:themeFill="background1"/>
        <w:spacing w:before="0" w:beforeAutospacing="0" w:after="0" w:afterAutospacing="0"/>
        <w:rPr>
          <w:b w:val="0"/>
          <w:sz w:val="22"/>
          <w:szCs w:val="22"/>
          <w:lang w:eastAsia="en-US"/>
        </w:rPr>
      </w:pPr>
    </w:p>
    <w:p w:rsidRPr="00A40512" w:rsidR="00972E74" w:rsidP="00CE4CF1" w:rsidRDefault="00DB21E6" w14:paraId="17C15F06" w14:textId="5661AC98">
      <w:pPr>
        <w:pStyle w:val="Heading4"/>
        <w:shd w:val="clear" w:color="auto" w:fill="FFFFFF" w:themeFill="background1"/>
        <w:spacing w:before="0" w:beforeAutospacing="0" w:after="0" w:afterAutospacing="0"/>
        <w:rPr>
          <w:b w:val="0"/>
          <w:sz w:val="22"/>
          <w:szCs w:val="22"/>
        </w:rPr>
      </w:pPr>
      <w:r>
        <w:rPr>
          <w:b w:val="0"/>
          <w:sz w:val="22"/>
          <w:szCs w:val="22"/>
          <w:lang w:eastAsia="en-US"/>
        </w:rPr>
        <w:t>Following the publication of new sector guidance on the design of classification algorithms</w:t>
      </w:r>
      <w:r w:rsidR="0049658E">
        <w:rPr>
          <w:b w:val="0"/>
          <w:sz w:val="22"/>
          <w:szCs w:val="22"/>
          <w:lang w:eastAsia="en-US"/>
        </w:rPr>
        <w:t>,</w:t>
      </w:r>
      <w:r w:rsidR="00694059">
        <w:rPr>
          <w:b w:val="0"/>
          <w:sz w:val="22"/>
          <w:szCs w:val="22"/>
          <w:lang w:eastAsia="en-US"/>
        </w:rPr>
        <w:t xml:space="preserve"> in 2020/21 </w:t>
      </w:r>
      <w:r>
        <w:rPr>
          <w:b w:val="0"/>
          <w:sz w:val="22"/>
          <w:szCs w:val="22"/>
          <w:lang w:eastAsia="en-US"/>
        </w:rPr>
        <w:t xml:space="preserve">the University </w:t>
      </w:r>
      <w:r w:rsidR="00694059">
        <w:rPr>
          <w:b w:val="0"/>
          <w:sz w:val="22"/>
          <w:szCs w:val="22"/>
          <w:lang w:eastAsia="en-US"/>
        </w:rPr>
        <w:t xml:space="preserve">undertook another review of its </w:t>
      </w:r>
      <w:r w:rsidR="006A4B02">
        <w:rPr>
          <w:b w:val="0"/>
          <w:sz w:val="22"/>
          <w:szCs w:val="22"/>
          <w:lang w:eastAsia="en-US"/>
        </w:rPr>
        <w:t xml:space="preserve">classification </w:t>
      </w:r>
      <w:r w:rsidR="00694059">
        <w:rPr>
          <w:b w:val="0"/>
          <w:sz w:val="22"/>
          <w:szCs w:val="22"/>
          <w:lang w:eastAsia="en-US"/>
        </w:rPr>
        <w:t xml:space="preserve">algorithms, drawing again on sector research, extensive data modelling and </w:t>
      </w:r>
      <w:r w:rsidR="00972E74">
        <w:rPr>
          <w:b w:val="0"/>
          <w:sz w:val="22"/>
          <w:szCs w:val="22"/>
          <w:lang w:eastAsia="en-US"/>
        </w:rPr>
        <w:t xml:space="preserve">external </w:t>
      </w:r>
      <w:r w:rsidR="0049658E">
        <w:rPr>
          <w:b w:val="0"/>
          <w:sz w:val="22"/>
          <w:szCs w:val="22"/>
          <w:lang w:eastAsia="en-US"/>
        </w:rPr>
        <w:t>consultation</w:t>
      </w:r>
      <w:r w:rsidR="00694059">
        <w:rPr>
          <w:b w:val="0"/>
          <w:sz w:val="22"/>
          <w:szCs w:val="22"/>
          <w:lang w:eastAsia="en-US"/>
        </w:rPr>
        <w:t xml:space="preserve">. </w:t>
      </w:r>
      <w:hyperlink w:history="1" r:id="rId18">
        <w:r w:rsidRPr="00B70B70" w:rsidR="00972E74">
          <w:rPr>
            <w:rStyle w:val="Hyperlink"/>
            <w:b w:val="0"/>
            <w:sz w:val="22"/>
            <w:szCs w:val="22"/>
            <w:lang w:eastAsia="en-US"/>
          </w:rPr>
          <w:t xml:space="preserve">A </w:t>
        </w:r>
        <w:r w:rsidRPr="00B70B70">
          <w:rPr>
            <w:rStyle w:val="Hyperlink"/>
            <w:b w:val="0"/>
            <w:sz w:val="22"/>
            <w:szCs w:val="22"/>
            <w:lang w:eastAsia="en-US"/>
          </w:rPr>
          <w:t>new set of algorithms</w:t>
        </w:r>
      </w:hyperlink>
      <w:r w:rsidRPr="00B70B70">
        <w:rPr>
          <w:b w:val="0"/>
          <w:color w:val="000000" w:themeColor="text1"/>
          <w:sz w:val="22"/>
          <w:szCs w:val="22"/>
          <w:lang w:eastAsia="en-US"/>
        </w:rPr>
        <w:t xml:space="preserve"> </w:t>
      </w:r>
      <w:r w:rsidR="00972E74">
        <w:rPr>
          <w:b w:val="0"/>
          <w:sz w:val="22"/>
          <w:szCs w:val="22"/>
          <w:lang w:eastAsia="en-US"/>
        </w:rPr>
        <w:t xml:space="preserve">was approved in June 2021 and </w:t>
      </w:r>
      <w:r>
        <w:rPr>
          <w:b w:val="0"/>
          <w:sz w:val="22"/>
          <w:szCs w:val="22"/>
          <w:lang w:eastAsia="en-US"/>
        </w:rPr>
        <w:t>phased in from Sept 2021 for new students</w:t>
      </w:r>
      <w:r w:rsidR="004C7643">
        <w:rPr>
          <w:b w:val="0"/>
          <w:sz w:val="22"/>
          <w:szCs w:val="22"/>
          <w:lang w:eastAsia="en-US"/>
        </w:rPr>
        <w:t>. It is anticipated that these new algorithms will support a return to pre-COVID levels of Good Honours and will enable a return to a target of 74% good honours in the longer term.</w:t>
      </w:r>
    </w:p>
    <w:p w:rsidRPr="003359EB" w:rsidR="003359EB" w:rsidP="00CE4CF1" w:rsidRDefault="003359EB" w14:paraId="3D3F717E" w14:textId="77777777">
      <w:pPr>
        <w:pStyle w:val="NormalWeb"/>
        <w:spacing w:before="0" w:beforeAutospacing="0" w:after="0" w:afterAutospacing="0"/>
        <w:rPr>
          <w:rFonts w:asciiTheme="minorHAnsi" w:hAnsiTheme="minorHAnsi" w:cstheme="minorHAnsi"/>
          <w:color w:val="252A2F"/>
        </w:rPr>
      </w:pPr>
    </w:p>
    <w:p w:rsidRPr="00972E74" w:rsidR="00972E74" w:rsidP="00EB6F16" w:rsidRDefault="00972E74" w14:paraId="3BD44579" w14:textId="158D331A">
      <w:pPr>
        <w:pStyle w:val="Style1"/>
        <w:rPr>
          <w:bCs/>
        </w:rPr>
      </w:pPr>
      <w:r w:rsidRPr="00972E74">
        <w:t xml:space="preserve">Section </w:t>
      </w:r>
      <w:r w:rsidR="0049658E">
        <w:t xml:space="preserve">3 </w:t>
      </w:r>
      <w:hyperlink w:tgtFrame="_blank" w:history="1" r:id="rId19">
        <w:r w:rsidRPr="00972E74">
          <w:rPr>
            <w:rStyle w:val="Hyperlink"/>
            <w:color w:val="002060"/>
            <w:u w:val="none"/>
          </w:rPr>
          <w:t xml:space="preserve">Teaching </w:t>
        </w:r>
        <w:r w:rsidR="0049658E">
          <w:rPr>
            <w:rStyle w:val="Hyperlink"/>
            <w:bCs/>
            <w:color w:val="002060"/>
            <w:u w:val="none"/>
          </w:rPr>
          <w:t xml:space="preserve">and assessment </w:t>
        </w:r>
        <w:r w:rsidRPr="00972E74">
          <w:rPr>
            <w:rStyle w:val="Hyperlink"/>
            <w:color w:val="002060"/>
            <w:u w:val="none"/>
          </w:rPr>
          <w:t xml:space="preserve">practices </w:t>
        </w:r>
      </w:hyperlink>
    </w:p>
    <w:p w:rsidR="00EB6F16" w:rsidP="00CE4CF1" w:rsidRDefault="0049658E" w14:paraId="36BCD4E4" w14:textId="77777777">
      <w:pPr>
        <w:rPr>
          <w:rFonts w:eastAsia="Times New Roman" w:asciiTheme="minorHAnsi" w:hAnsiTheme="minorHAnsi" w:cstheme="minorHAnsi"/>
          <w:color w:val="000000" w:themeColor="text1"/>
        </w:rPr>
      </w:pPr>
      <w:r w:rsidRPr="00947841">
        <w:rPr>
          <w:rFonts w:eastAsia="Times New Roman" w:asciiTheme="minorHAnsi" w:hAnsiTheme="minorHAnsi" w:cstheme="minorHAnsi"/>
          <w:color w:val="000000" w:themeColor="text1"/>
        </w:rPr>
        <w:t xml:space="preserve">The University </w:t>
      </w:r>
      <w:r>
        <w:rPr>
          <w:rFonts w:eastAsia="Times New Roman" w:asciiTheme="minorHAnsi" w:hAnsiTheme="minorHAnsi" w:cstheme="minorHAnsi"/>
          <w:color w:val="000000" w:themeColor="text1"/>
        </w:rPr>
        <w:t xml:space="preserve">is </w:t>
      </w:r>
      <w:r w:rsidRPr="00947841">
        <w:rPr>
          <w:rFonts w:eastAsia="Times New Roman" w:asciiTheme="minorHAnsi" w:hAnsiTheme="minorHAnsi" w:cstheme="minorHAnsi"/>
          <w:color w:val="000000" w:themeColor="text1"/>
        </w:rPr>
        <w:t>commi</w:t>
      </w:r>
      <w:r>
        <w:rPr>
          <w:rFonts w:eastAsia="Times New Roman" w:asciiTheme="minorHAnsi" w:hAnsiTheme="minorHAnsi" w:cstheme="minorHAnsi"/>
          <w:color w:val="000000" w:themeColor="text1"/>
        </w:rPr>
        <w:t xml:space="preserve">tted </w:t>
      </w:r>
      <w:r w:rsidRPr="00947841">
        <w:rPr>
          <w:rFonts w:eastAsia="Times New Roman" w:asciiTheme="minorHAnsi" w:hAnsiTheme="minorHAnsi" w:cstheme="minorHAnsi"/>
          <w:color w:val="000000" w:themeColor="text1"/>
        </w:rPr>
        <w:t xml:space="preserve">to excellence in all aspects of teaching, learning and assessment and consistently strives to enhance the quality of its teaching and learning. Enhancements are driven not just at Faculty/Institute, departmental and programme level, but also by our </w:t>
      </w:r>
      <w:r w:rsidRPr="0049658E">
        <w:rPr>
          <w:rFonts w:eastAsia="Times New Roman" w:asciiTheme="minorHAnsi" w:hAnsiTheme="minorHAnsi" w:cstheme="minorHAnsi"/>
        </w:rPr>
        <w:t>Organisational Development Team (OD)</w:t>
      </w:r>
      <w:r w:rsidRPr="00947841">
        <w:rPr>
          <w:rFonts w:eastAsia="Times New Roman" w:asciiTheme="minorHAnsi" w:hAnsiTheme="minorHAnsi" w:cstheme="minorHAnsi"/>
          <w:color w:val="000000" w:themeColor="text1"/>
        </w:rPr>
        <w:t xml:space="preserve"> and our </w:t>
      </w:r>
      <w:r w:rsidRPr="0049658E">
        <w:rPr>
          <w:rFonts w:eastAsia="Times New Roman" w:asciiTheme="minorHAnsi" w:hAnsiTheme="minorHAnsi" w:cstheme="minorHAnsi"/>
        </w:rPr>
        <w:t>Centre for Teaching Excellence and Student Success (CTESS),</w:t>
      </w:r>
      <w:r w:rsidRPr="00947841">
        <w:rPr>
          <w:rFonts w:eastAsia="Times New Roman" w:asciiTheme="minorHAnsi" w:hAnsiTheme="minorHAnsi" w:cstheme="minorHAnsi"/>
          <w:color w:val="000000" w:themeColor="text1"/>
        </w:rPr>
        <w:t xml:space="preserve"> which acts as a dynamic catalyst for positive policy development, and enhanced approaches </w:t>
      </w:r>
      <w:r>
        <w:rPr>
          <w:rFonts w:eastAsia="Times New Roman" w:asciiTheme="minorHAnsi" w:hAnsiTheme="minorHAnsi" w:cstheme="minorHAnsi"/>
          <w:color w:val="000000" w:themeColor="text1"/>
        </w:rPr>
        <w:t xml:space="preserve">and </w:t>
      </w:r>
      <w:r w:rsidRPr="00947841">
        <w:rPr>
          <w:rFonts w:eastAsia="Times New Roman" w:asciiTheme="minorHAnsi" w:hAnsiTheme="minorHAnsi" w:cstheme="minorHAnsi"/>
          <w:color w:val="000000" w:themeColor="text1"/>
        </w:rPr>
        <w:t>practices relating to teaching, personal tutoring, assessment and feedback.</w:t>
      </w:r>
    </w:p>
    <w:p w:rsidR="00EB6F16" w:rsidP="00CE4CF1" w:rsidRDefault="00EB6F16" w14:paraId="012CA13E" w14:textId="77777777">
      <w:pPr>
        <w:rPr>
          <w:rFonts w:eastAsia="Times New Roman" w:asciiTheme="minorHAnsi" w:hAnsiTheme="minorHAnsi" w:cstheme="minorHAnsi"/>
          <w:color w:val="000000" w:themeColor="text1"/>
        </w:rPr>
      </w:pPr>
    </w:p>
    <w:p w:rsidR="00797EE0" w:rsidP="00CE4CF1" w:rsidRDefault="00972E74" w14:paraId="38C2D558" w14:textId="7D9CF916">
      <w:pPr>
        <w:rPr>
          <w:rFonts w:asciiTheme="minorHAnsi" w:hAnsiTheme="minorHAnsi" w:cstheme="minorHAnsi"/>
          <w:color w:val="000000" w:themeColor="text1"/>
        </w:rPr>
      </w:pPr>
      <w:r w:rsidRPr="001765C8">
        <w:rPr>
          <w:rFonts w:asciiTheme="minorHAnsi" w:hAnsiTheme="minorHAnsi" w:cstheme="minorHAnsi"/>
          <w:color w:val="000000" w:themeColor="text1"/>
        </w:rPr>
        <w:lastRenderedPageBreak/>
        <w:t>The University adopts an evidenced-based approach to the enhancement of its teaching, learning and assessment practices</w:t>
      </w:r>
      <w:r w:rsidR="00797EE0">
        <w:rPr>
          <w:rFonts w:asciiTheme="minorHAnsi" w:hAnsiTheme="minorHAnsi" w:cstheme="minorHAnsi"/>
          <w:color w:val="000000" w:themeColor="text1"/>
        </w:rPr>
        <w:t xml:space="preserve">. </w:t>
      </w:r>
      <w:r>
        <w:rPr>
          <w:rFonts w:asciiTheme="minorHAnsi" w:hAnsiTheme="minorHAnsi" w:cstheme="minorHAnsi"/>
          <w:color w:val="000000" w:themeColor="text1"/>
        </w:rPr>
        <w:t>Each annual Programme Review Board</w:t>
      </w:r>
      <w:r w:rsidR="00797EE0">
        <w:rPr>
          <w:rFonts w:asciiTheme="minorHAnsi" w:hAnsiTheme="minorHAnsi" w:cstheme="minorHAnsi"/>
          <w:color w:val="000000" w:themeColor="text1"/>
        </w:rPr>
        <w:t xml:space="preserve"> </w:t>
      </w:r>
      <w:r>
        <w:rPr>
          <w:rFonts w:asciiTheme="minorHAnsi" w:hAnsiTheme="minorHAnsi" w:cstheme="minorHAnsi"/>
          <w:color w:val="000000" w:themeColor="text1"/>
        </w:rPr>
        <w:t>draws on a detailed and comprehensive data set provided via our PowerBI</w:t>
      </w:r>
      <w:r w:rsidR="000D13A1">
        <w:rPr>
          <w:rStyle w:val="FootnoteReference"/>
          <w:rFonts w:asciiTheme="minorHAnsi" w:hAnsiTheme="minorHAnsi" w:cstheme="minorHAnsi"/>
          <w:color w:val="000000" w:themeColor="text1"/>
        </w:rPr>
        <w:footnoteReference w:id="3"/>
      </w:r>
      <w:r>
        <w:rPr>
          <w:rFonts w:asciiTheme="minorHAnsi" w:hAnsiTheme="minorHAnsi" w:cstheme="minorHAnsi"/>
          <w:color w:val="000000" w:themeColor="text1"/>
        </w:rPr>
        <w:t xml:space="preserve"> platform to inform decision-making around enhancements. The same emphasis on high quality data characterises programme approval, and periodic review processes.  </w:t>
      </w:r>
      <w:r w:rsidRPr="001765C8">
        <w:rPr>
          <w:rFonts w:asciiTheme="minorHAnsi" w:hAnsiTheme="minorHAnsi" w:cstheme="minorHAnsi"/>
          <w:color w:val="000000" w:themeColor="text1"/>
        </w:rPr>
        <w:t xml:space="preserve">Monitoring and evaluation is also built into every stage of development and many improvements are co-created with, and reviewed by students through a well-established system of academic representation and close partnership with the </w:t>
      </w:r>
      <w:r w:rsidRPr="00EB6F16">
        <w:rPr>
          <w:rFonts w:asciiTheme="minorHAnsi" w:hAnsiTheme="minorHAnsi" w:cstheme="minorHAnsi"/>
        </w:rPr>
        <w:t>St Mary’s Students Union (SMSU).</w:t>
      </w:r>
      <w:r w:rsidRPr="00124DB2">
        <w:rPr>
          <w:rFonts w:asciiTheme="minorHAnsi" w:hAnsiTheme="minorHAnsi" w:cstheme="minorHAnsi"/>
          <w:color w:val="000000" w:themeColor="text1"/>
        </w:rPr>
        <w:t xml:space="preserve"> </w:t>
      </w:r>
    </w:p>
    <w:p w:rsidR="00837AC9" w:rsidP="00CE4CF1" w:rsidRDefault="00837AC9" w14:paraId="0DD1F796" w14:textId="77777777">
      <w:pPr>
        <w:rPr>
          <w:rFonts w:asciiTheme="minorHAnsi" w:hAnsiTheme="minorHAnsi" w:cstheme="minorHAnsi"/>
          <w:color w:val="000000" w:themeColor="text1"/>
        </w:rPr>
      </w:pPr>
    </w:p>
    <w:p w:rsidRPr="00EB6F16" w:rsidR="00797EE0" w:rsidP="00CE4CF1" w:rsidRDefault="00797EE0" w14:paraId="1B6A17CF" w14:textId="0BB9483D">
      <w:pPr>
        <w:pStyle w:val="NormalWeb"/>
        <w:spacing w:before="0" w:beforeAutospacing="0" w:after="0" w:afterAutospacing="0"/>
        <w:rPr>
          <w:rFonts w:asciiTheme="minorHAnsi" w:hAnsiTheme="minorHAnsi" w:cstheme="minorHAnsi"/>
          <w:color w:val="2E74B5" w:themeColor="accent5" w:themeShade="BF"/>
        </w:rPr>
      </w:pPr>
      <w:r>
        <w:rPr>
          <w:rFonts w:asciiTheme="minorHAnsi" w:hAnsiTheme="minorHAnsi" w:cstheme="minorHAnsi"/>
          <w:color w:val="000000" w:themeColor="text1"/>
        </w:rPr>
        <w:t>To ensure the quality and rigour of assessment, strict rules</w:t>
      </w:r>
      <w:r w:rsidRPr="00B83F83" w:rsidR="00A55CDD">
        <w:rPr>
          <w:rFonts w:asciiTheme="minorHAnsi" w:hAnsiTheme="minorHAnsi" w:cstheme="minorHAnsi"/>
          <w:color w:val="000000" w:themeColor="text1"/>
        </w:rPr>
        <w:t xml:space="preserve"> in </w:t>
      </w:r>
      <w:hyperlink w:history="1" w:anchor="SectionGAssessmentRegulationsOrganisationofAssessment" r:id="rId20">
        <w:r w:rsidRPr="00EB6F16" w:rsidR="00A55CDD">
          <w:rPr>
            <w:rStyle w:val="Hyperlink"/>
            <w:rFonts w:asciiTheme="minorHAnsi" w:hAnsiTheme="minorHAnsi" w:cstheme="minorHAnsi"/>
            <w:color w:val="2E74B5" w:themeColor="accent5" w:themeShade="BF"/>
          </w:rPr>
          <w:t>Section G of the Academic Regulations</w:t>
        </w:r>
      </w:hyperlink>
      <w:r>
        <w:rPr>
          <w:rFonts w:asciiTheme="minorHAnsi" w:hAnsiTheme="minorHAnsi" w:cstheme="minorHAnsi"/>
          <w:color w:val="000000" w:themeColor="text1"/>
        </w:rPr>
        <w:t xml:space="preserve"> govern the way all students are assessed.</w:t>
      </w:r>
      <w:r w:rsidRPr="00B83F83" w:rsidR="00A55CDD">
        <w:rPr>
          <w:rFonts w:asciiTheme="minorHAnsi" w:hAnsiTheme="minorHAnsi" w:cstheme="minorHAnsi"/>
          <w:color w:val="000000" w:themeColor="text1"/>
        </w:rPr>
        <w:t xml:space="preserve"> </w:t>
      </w:r>
      <w:r>
        <w:rPr>
          <w:rFonts w:asciiTheme="minorHAnsi" w:hAnsiTheme="minorHAnsi" w:cstheme="minorHAnsi"/>
          <w:color w:val="000000" w:themeColor="text1"/>
        </w:rPr>
        <w:t>Diverse forms of assessments, including e</w:t>
      </w:r>
      <w:r w:rsidR="00261FC1">
        <w:rPr>
          <w:rFonts w:asciiTheme="minorHAnsi" w:hAnsiTheme="minorHAnsi" w:cstheme="minorHAnsi"/>
          <w:color w:val="000000" w:themeColor="text1"/>
        </w:rPr>
        <w:t>ssays, exams, practical exercises, group assessments, presentations, dissertations, projects, portfolios</w:t>
      </w:r>
      <w:r>
        <w:rPr>
          <w:rFonts w:asciiTheme="minorHAnsi" w:hAnsiTheme="minorHAnsi" w:cstheme="minorHAnsi"/>
          <w:color w:val="000000" w:themeColor="text1"/>
        </w:rPr>
        <w:t xml:space="preserve"> etc are </w:t>
      </w:r>
      <w:r w:rsidR="00261FC1">
        <w:rPr>
          <w:rFonts w:asciiTheme="minorHAnsi" w:hAnsiTheme="minorHAnsi" w:cstheme="minorHAnsi"/>
          <w:color w:val="000000" w:themeColor="text1"/>
        </w:rPr>
        <w:t>u</w:t>
      </w:r>
      <w:r>
        <w:rPr>
          <w:rFonts w:asciiTheme="minorHAnsi" w:hAnsiTheme="minorHAnsi" w:cstheme="minorHAnsi"/>
          <w:color w:val="000000" w:themeColor="text1"/>
        </w:rPr>
        <w:t>tilised</w:t>
      </w:r>
      <w:r w:rsidR="00261FC1">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that enable students to demonstrate programme learning outcomes. </w:t>
      </w:r>
      <w:r w:rsidR="00261FC1">
        <w:rPr>
          <w:rFonts w:asciiTheme="minorHAnsi" w:hAnsiTheme="minorHAnsi" w:cstheme="minorHAnsi"/>
          <w:color w:val="000000" w:themeColor="text1"/>
        </w:rPr>
        <w:t>With the exception of work-based assignments</w:t>
      </w:r>
      <w:r w:rsidR="001F5799">
        <w:rPr>
          <w:rFonts w:asciiTheme="minorHAnsi" w:hAnsiTheme="minorHAnsi" w:cstheme="minorHAnsi"/>
          <w:color w:val="000000" w:themeColor="text1"/>
        </w:rPr>
        <w:t xml:space="preserve"> and dissertations</w:t>
      </w:r>
      <w:r w:rsidR="00261FC1">
        <w:rPr>
          <w:rFonts w:asciiTheme="minorHAnsi" w:hAnsiTheme="minorHAnsi" w:cstheme="minorHAnsi"/>
          <w:color w:val="000000" w:themeColor="text1"/>
        </w:rPr>
        <w:t>, all coursework is marked anonymously to avoid any potential bias, and sample</w:t>
      </w:r>
      <w:r w:rsidR="006A4B02">
        <w:rPr>
          <w:rFonts w:asciiTheme="minorHAnsi" w:hAnsiTheme="minorHAnsi" w:cstheme="minorHAnsi"/>
          <w:color w:val="000000" w:themeColor="text1"/>
        </w:rPr>
        <w:t>s</w:t>
      </w:r>
      <w:r w:rsidR="00261FC1">
        <w:rPr>
          <w:rFonts w:asciiTheme="minorHAnsi" w:hAnsiTheme="minorHAnsi" w:cstheme="minorHAnsi"/>
          <w:color w:val="000000" w:themeColor="text1"/>
        </w:rPr>
        <w:t xml:space="preserve"> of work are moderated by a second marker, as well as by an external examiner</w:t>
      </w:r>
      <w:r w:rsidR="00BD4027">
        <w:rPr>
          <w:rFonts w:asciiTheme="minorHAnsi" w:hAnsiTheme="minorHAnsi" w:cstheme="minorHAnsi"/>
          <w:color w:val="000000" w:themeColor="text1"/>
        </w:rPr>
        <w:t>.</w:t>
      </w:r>
      <w:r w:rsidR="00C50D6E">
        <w:rPr>
          <w:rFonts w:asciiTheme="minorHAnsi" w:hAnsiTheme="minorHAnsi" w:cstheme="minorHAnsi"/>
          <w:color w:val="000000" w:themeColor="text1"/>
        </w:rPr>
        <w:t xml:space="preserve"> </w:t>
      </w:r>
      <w:r w:rsidR="00BD4027">
        <w:rPr>
          <w:rFonts w:asciiTheme="minorHAnsi" w:hAnsiTheme="minorHAnsi" w:cstheme="minorHAnsi"/>
          <w:color w:val="000000" w:themeColor="text1"/>
        </w:rPr>
        <w:t>The rigour and checks in place to ensure the reliability of the marking process and the marks awarded means that the University, its students, staff, employers and other stakeholders can have confidence that the marks students receive are accurate and reliable.</w:t>
      </w:r>
      <w:r>
        <w:rPr>
          <w:rFonts w:asciiTheme="minorHAnsi" w:hAnsiTheme="minorHAnsi" w:cstheme="minorHAnsi"/>
          <w:color w:val="000000" w:themeColor="text1"/>
        </w:rPr>
        <w:t xml:space="preserve"> </w:t>
      </w:r>
      <w:r w:rsidRPr="00B83F83" w:rsidR="003359EB">
        <w:rPr>
          <w:rFonts w:asciiTheme="minorHAnsi" w:hAnsiTheme="minorHAnsi" w:cstheme="minorHAnsi"/>
          <w:color w:val="000000" w:themeColor="text1"/>
        </w:rPr>
        <w:t>The University has a rigorous approach to assuring the standardisation of assessment, marking</w:t>
      </w:r>
      <w:r w:rsidR="00B83F83">
        <w:rPr>
          <w:rFonts w:asciiTheme="minorHAnsi" w:hAnsiTheme="minorHAnsi" w:cstheme="minorHAnsi"/>
          <w:color w:val="000000" w:themeColor="text1"/>
        </w:rPr>
        <w:t>, moderation and the design of assessment</w:t>
      </w:r>
      <w:r w:rsidR="00C50D6E">
        <w:rPr>
          <w:rFonts w:asciiTheme="minorHAnsi" w:hAnsiTheme="minorHAnsi" w:cstheme="minorHAnsi"/>
          <w:color w:val="000000" w:themeColor="text1"/>
        </w:rPr>
        <w:t xml:space="preserve">, with clear expectations set-out in our </w:t>
      </w:r>
      <w:hyperlink w:history="1" r:id="rId21">
        <w:r w:rsidRPr="00EB6F16" w:rsidR="00B83F83">
          <w:rPr>
            <w:rStyle w:val="Hyperlink"/>
            <w:rFonts w:asciiTheme="minorHAnsi" w:hAnsiTheme="minorHAnsi" w:cstheme="minorHAnsi"/>
            <w:color w:val="2E74B5" w:themeColor="accent5" w:themeShade="BF"/>
          </w:rPr>
          <w:t>Assessment Policy</w:t>
        </w:r>
      </w:hyperlink>
      <w:r w:rsidRPr="00B83F83" w:rsidR="00B83F83">
        <w:rPr>
          <w:rFonts w:asciiTheme="minorHAnsi" w:hAnsiTheme="minorHAnsi" w:cstheme="minorHAnsi"/>
          <w:color w:val="000000" w:themeColor="text1"/>
        </w:rPr>
        <w:t>.</w:t>
      </w:r>
      <w:r w:rsidR="00B83F83">
        <w:rPr>
          <w:rFonts w:asciiTheme="minorHAnsi" w:hAnsiTheme="minorHAnsi" w:cstheme="minorHAnsi"/>
          <w:color w:val="000000" w:themeColor="text1"/>
        </w:rPr>
        <w:t xml:space="preserve"> </w:t>
      </w:r>
      <w:r w:rsidR="001F5799">
        <w:rPr>
          <w:rFonts w:asciiTheme="minorHAnsi" w:hAnsiTheme="minorHAnsi" w:cstheme="minorHAnsi"/>
          <w:color w:val="000000" w:themeColor="text1"/>
        </w:rPr>
        <w:t xml:space="preserve"> </w:t>
      </w:r>
      <w:r w:rsidR="00183948">
        <w:rPr>
          <w:rFonts w:asciiTheme="minorHAnsi" w:hAnsiTheme="minorHAnsi" w:cstheme="minorHAnsi"/>
          <w:color w:val="000000" w:themeColor="text1"/>
        </w:rPr>
        <w:t>The quality of programmes is assured through the application of a rigorous annual quality assurance process that is conducted for all programmes, along with a periodic review</w:t>
      </w:r>
      <w:r w:rsidR="00CE4CF1">
        <w:rPr>
          <w:rFonts w:asciiTheme="minorHAnsi" w:hAnsiTheme="minorHAnsi" w:cstheme="minorHAnsi"/>
          <w:color w:val="000000" w:themeColor="text1"/>
        </w:rPr>
        <w:t xml:space="preserve"> e</w:t>
      </w:r>
      <w:r w:rsidR="001F5799">
        <w:rPr>
          <w:rFonts w:asciiTheme="minorHAnsi" w:hAnsiTheme="minorHAnsi" w:cstheme="minorHAnsi"/>
          <w:color w:val="000000" w:themeColor="text1"/>
        </w:rPr>
        <w:t xml:space="preserve">very 5 years. </w:t>
      </w:r>
      <w:r w:rsidR="00183948">
        <w:rPr>
          <w:rFonts w:asciiTheme="minorHAnsi" w:hAnsiTheme="minorHAnsi" w:cstheme="minorHAnsi"/>
          <w:color w:val="000000" w:themeColor="text1"/>
        </w:rPr>
        <w:t>The requirements for quality monitoring and enhancement are set out in the University’s</w:t>
      </w:r>
      <w:r w:rsidRPr="00183948" w:rsidR="00183948">
        <w:rPr>
          <w:rFonts w:asciiTheme="minorHAnsi" w:hAnsiTheme="minorHAnsi" w:cstheme="minorHAnsi"/>
          <w:color w:val="000000" w:themeColor="text1"/>
        </w:rPr>
        <w:t xml:space="preserve"> </w:t>
      </w:r>
      <w:hyperlink w:history="1" r:id="rId22">
        <w:r w:rsidRPr="00EB6F16" w:rsidR="00183948">
          <w:rPr>
            <w:rStyle w:val="Hyperlink"/>
            <w:rFonts w:asciiTheme="minorHAnsi" w:hAnsiTheme="minorHAnsi" w:cstheme="minorHAnsi"/>
            <w:color w:val="2E74B5" w:themeColor="accent5" w:themeShade="BF"/>
          </w:rPr>
          <w:t>Quality Assurance and Enhancement (QAE) Handbook</w:t>
        </w:r>
      </w:hyperlink>
      <w:r w:rsidRPr="00EB6F16" w:rsidR="00183948">
        <w:rPr>
          <w:rFonts w:asciiTheme="minorHAnsi" w:hAnsiTheme="minorHAnsi" w:cstheme="minorHAnsi"/>
          <w:color w:val="2E74B5" w:themeColor="accent5" w:themeShade="BF"/>
        </w:rPr>
        <w:t xml:space="preserve">. </w:t>
      </w:r>
    </w:p>
    <w:p w:rsidR="00295547" w:rsidP="00CE4CF1" w:rsidRDefault="00295547" w14:paraId="39A98DBB" w14:textId="38AF0837">
      <w:pPr>
        <w:pStyle w:val="NormalWeb"/>
        <w:spacing w:before="0" w:beforeAutospacing="0" w:after="0" w:afterAutospacing="0"/>
        <w:rPr>
          <w:rFonts w:asciiTheme="minorHAnsi" w:hAnsiTheme="minorHAnsi" w:cstheme="minorHAnsi"/>
          <w:color w:val="000000" w:themeColor="text1"/>
        </w:rPr>
      </w:pPr>
    </w:p>
    <w:p w:rsidR="00797EE0" w:rsidP="00CE4CF1" w:rsidRDefault="00797EE0" w14:paraId="3C20AB36" w14:textId="5B72B2E6">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The frameworks surrounding the assessment of students, combined with a systematic and comprehensive use of external examiners on each programme means that the our students, employers and other stakeholders (including the public) can have confidence that the assessments undertaken by our students are aligned with sector benchmark reference points, meet the requirements of Professional, Statutory &amp; Regulatory Bodies (PSRBs), are aligned with learning outcomes, and prepare our students for progression into graduate level employment.</w:t>
      </w:r>
    </w:p>
    <w:p w:rsidRPr="00E65020" w:rsidR="003359EB" w:rsidP="00CE4CF1" w:rsidRDefault="003359EB" w14:paraId="3F40413A" w14:textId="77777777">
      <w:pPr>
        <w:rPr>
          <w:rFonts w:eastAsia="Times New Roman" w:asciiTheme="minorHAnsi" w:hAnsiTheme="minorHAnsi" w:cstheme="minorHAnsi"/>
          <w:b/>
          <w:color w:val="000000" w:themeColor="text1"/>
          <w:sz w:val="24"/>
          <w:szCs w:val="24"/>
        </w:rPr>
      </w:pPr>
    </w:p>
    <w:p w:rsidRPr="00797EE0" w:rsidR="003359EB" w:rsidP="00EB6F16" w:rsidRDefault="00E65020" w14:paraId="1F1317BA" w14:textId="0C457940">
      <w:pPr>
        <w:pStyle w:val="Style1"/>
        <w:rPr>
          <w:bCs/>
        </w:rPr>
      </w:pPr>
      <w:r w:rsidRPr="00797EE0">
        <w:t>Section</w:t>
      </w:r>
      <w:r w:rsidR="003E0C5E">
        <w:t xml:space="preserve"> </w:t>
      </w:r>
      <w:r w:rsidR="00EB6F16">
        <w:t xml:space="preserve">4 </w:t>
      </w:r>
      <w:hyperlink w:tgtFrame="_blank" w:history="1" r:id="rId23">
        <w:r w:rsidRPr="00797EE0" w:rsidR="003359EB">
          <w:rPr>
            <w:rStyle w:val="Hyperlink"/>
            <w:color w:val="002060"/>
            <w:u w:val="none"/>
          </w:rPr>
          <w:t xml:space="preserve">Academic </w:t>
        </w:r>
        <w:r w:rsidRPr="00797EE0" w:rsidR="00C50D6E">
          <w:rPr>
            <w:rStyle w:val="Hyperlink"/>
            <w:color w:val="002060"/>
            <w:u w:val="none"/>
          </w:rPr>
          <w:t>g</w:t>
        </w:r>
        <w:r w:rsidRPr="00797EE0" w:rsidR="003359EB">
          <w:rPr>
            <w:rStyle w:val="Hyperlink"/>
            <w:color w:val="002060"/>
            <w:u w:val="none"/>
          </w:rPr>
          <w:t>overnance</w:t>
        </w:r>
      </w:hyperlink>
      <w:r w:rsidRPr="00797EE0" w:rsidR="00C50D6E">
        <w:rPr>
          <w:rStyle w:val="Hyperlink"/>
          <w:color w:val="002060"/>
          <w:u w:val="none"/>
        </w:rPr>
        <w:t xml:space="preserve"> and leadership</w:t>
      </w:r>
    </w:p>
    <w:p w:rsidR="001F5799" w:rsidP="00CE4CF1" w:rsidRDefault="00BD4027" w14:paraId="397F5CCE" w14:textId="562240A9">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A comprehensive set of </w:t>
      </w:r>
      <w:hyperlink w:history="1" r:id="rId24">
        <w:r w:rsidRPr="0063619F">
          <w:rPr>
            <w:rStyle w:val="Hyperlink"/>
            <w:rFonts w:asciiTheme="minorHAnsi" w:hAnsiTheme="minorHAnsi" w:cstheme="minorHAnsi"/>
            <w:color w:val="2E74B5" w:themeColor="accent5" w:themeShade="BF"/>
          </w:rPr>
          <w:t>Academic Regulations and Policies</w:t>
        </w:r>
      </w:hyperlink>
      <w:r w:rsidRPr="0063619F">
        <w:rPr>
          <w:rFonts w:asciiTheme="minorHAnsi" w:hAnsiTheme="minorHAnsi" w:cstheme="minorHAnsi"/>
          <w:color w:val="2E74B5" w:themeColor="accent5" w:themeShade="BF"/>
        </w:rPr>
        <w:t xml:space="preserve"> </w:t>
      </w:r>
      <w:r w:rsidRPr="00E65020">
        <w:rPr>
          <w:rFonts w:asciiTheme="minorHAnsi" w:hAnsiTheme="minorHAnsi" w:cstheme="minorHAnsi"/>
          <w:color w:val="000000" w:themeColor="text1"/>
        </w:rPr>
        <w:t xml:space="preserve">cover </w:t>
      </w:r>
      <w:r>
        <w:rPr>
          <w:rFonts w:asciiTheme="minorHAnsi" w:hAnsiTheme="minorHAnsi" w:cstheme="minorHAnsi"/>
          <w:color w:val="000000" w:themeColor="text1"/>
        </w:rPr>
        <w:t>the operation of teaching, examinations, assessments and other matters relating to students. Academic governance is by the University’s Academic Board</w:t>
      </w:r>
      <w:r w:rsidR="00E65020">
        <w:rPr>
          <w:rFonts w:asciiTheme="minorHAnsi" w:hAnsiTheme="minorHAnsi" w:cstheme="minorHAnsi"/>
          <w:color w:val="000000" w:themeColor="text1"/>
        </w:rPr>
        <w:t xml:space="preserve">, which is the most senior committee and decision-making body on all issues pertaining to the academic functions of the University and students. The work of Academic Board is supported through the work of various </w:t>
      </w:r>
      <w:r w:rsidR="001F5799">
        <w:rPr>
          <w:rFonts w:asciiTheme="minorHAnsi" w:hAnsiTheme="minorHAnsi" w:cstheme="minorHAnsi"/>
          <w:color w:val="000000" w:themeColor="text1"/>
        </w:rPr>
        <w:t xml:space="preserve">sub- </w:t>
      </w:r>
      <w:r w:rsidR="00E65020">
        <w:rPr>
          <w:rFonts w:asciiTheme="minorHAnsi" w:hAnsiTheme="minorHAnsi" w:cstheme="minorHAnsi"/>
          <w:color w:val="000000" w:themeColor="text1"/>
        </w:rPr>
        <w:t>committees</w:t>
      </w:r>
      <w:r w:rsidR="001F5799">
        <w:rPr>
          <w:rFonts w:asciiTheme="minorHAnsi" w:hAnsiTheme="minorHAnsi" w:cstheme="minorHAnsi"/>
          <w:color w:val="000000" w:themeColor="text1"/>
        </w:rPr>
        <w:t xml:space="preserve"> of the Board</w:t>
      </w:r>
      <w:r w:rsidR="00E65020">
        <w:rPr>
          <w:rFonts w:asciiTheme="minorHAnsi" w:hAnsiTheme="minorHAnsi" w:cstheme="minorHAnsi"/>
          <w:color w:val="000000" w:themeColor="text1"/>
        </w:rPr>
        <w:t>, including</w:t>
      </w:r>
      <w:r w:rsidR="001F5799">
        <w:rPr>
          <w:rFonts w:asciiTheme="minorHAnsi" w:hAnsiTheme="minorHAnsi" w:cstheme="minorHAnsi"/>
          <w:color w:val="000000" w:themeColor="text1"/>
        </w:rPr>
        <w:t xml:space="preserve"> the </w:t>
      </w:r>
      <w:r w:rsidR="00E65020">
        <w:rPr>
          <w:rFonts w:asciiTheme="minorHAnsi" w:hAnsiTheme="minorHAnsi" w:cstheme="minorHAnsi"/>
          <w:color w:val="000000" w:themeColor="text1"/>
        </w:rPr>
        <w:t>Academic Development Committee</w:t>
      </w:r>
      <w:r w:rsidR="001F5799">
        <w:rPr>
          <w:rFonts w:asciiTheme="minorHAnsi" w:hAnsiTheme="minorHAnsi" w:cstheme="minorHAnsi"/>
          <w:color w:val="000000" w:themeColor="text1"/>
        </w:rPr>
        <w:t xml:space="preserve"> which is chaired by the Provost</w:t>
      </w:r>
      <w:r w:rsidR="00761E70">
        <w:rPr>
          <w:rFonts w:asciiTheme="minorHAnsi" w:hAnsiTheme="minorHAnsi" w:cstheme="minorHAnsi"/>
          <w:color w:val="000000" w:themeColor="text1"/>
        </w:rPr>
        <w:t xml:space="preserve">. This </w:t>
      </w:r>
      <w:r w:rsidR="001F5799">
        <w:rPr>
          <w:rFonts w:asciiTheme="minorHAnsi" w:hAnsiTheme="minorHAnsi" w:cstheme="minorHAnsi"/>
          <w:color w:val="000000" w:themeColor="text1"/>
        </w:rPr>
        <w:t>maintains oversight over all aspects of the quality of teaching, assessment and the student experience</w:t>
      </w:r>
      <w:r w:rsidR="00F81E12">
        <w:rPr>
          <w:rFonts w:asciiTheme="minorHAnsi" w:hAnsiTheme="minorHAnsi" w:cstheme="minorHAnsi"/>
          <w:color w:val="000000" w:themeColor="text1"/>
        </w:rPr>
        <w:t xml:space="preserve"> – this includes leading on the design and approval of marking scales/descriptors (which all markers utilise at St Mary’s and on franchised partnership programmes) to ensure consistency of marking practices and standards. </w:t>
      </w:r>
      <w:r w:rsidR="00837AC9">
        <w:rPr>
          <w:rFonts w:asciiTheme="minorHAnsi" w:hAnsiTheme="minorHAnsi" w:cstheme="minorHAnsi"/>
          <w:color w:val="000000" w:themeColor="text1"/>
        </w:rPr>
        <w:t xml:space="preserve"> </w:t>
      </w:r>
      <w:r w:rsidR="001F5799">
        <w:rPr>
          <w:rFonts w:asciiTheme="minorHAnsi" w:hAnsiTheme="minorHAnsi" w:cstheme="minorHAnsi"/>
          <w:color w:val="000000" w:themeColor="text1"/>
        </w:rPr>
        <w:t xml:space="preserve">Sub-committees of ADC drive enhancements across a range of areas pertaining to teaching and assessment. </w:t>
      </w:r>
      <w:r w:rsidR="009C4D1D">
        <w:rPr>
          <w:rFonts w:asciiTheme="minorHAnsi" w:hAnsiTheme="minorHAnsi" w:cstheme="minorHAnsi"/>
          <w:color w:val="000000" w:themeColor="text1"/>
        </w:rPr>
        <w:t xml:space="preserve"> </w:t>
      </w:r>
      <w:r w:rsidR="001F5799">
        <w:rPr>
          <w:rFonts w:asciiTheme="minorHAnsi" w:hAnsiTheme="minorHAnsi" w:cstheme="minorHAnsi"/>
          <w:color w:val="000000" w:themeColor="text1"/>
        </w:rPr>
        <w:t>The Quality Assurance and Enhancement Committee (QAEC) identifies ways in which the University can more effectively and efficiently maintain the quality of programme delivery including teaching and assessment, whilst the Collaborative Partnerships Committee (CPC) ensures that robust quality monitoring processes are in place to ensure comparability of standards in teaching, assessment and student outcomes between our own campus-based programmes and those delivered through franchise or validation arrangements with collaborative partners. The Student Experience Enhancement Committee (SEEC) identifies ways in which the wider students experience can be enhanced.</w:t>
      </w:r>
      <w:r w:rsidR="009C4D1D">
        <w:rPr>
          <w:rFonts w:asciiTheme="minorHAnsi" w:hAnsiTheme="minorHAnsi" w:cstheme="minorHAnsi"/>
          <w:color w:val="000000" w:themeColor="text1"/>
        </w:rPr>
        <w:t xml:space="preserve"> </w:t>
      </w:r>
    </w:p>
    <w:p w:rsidR="009C4D1D" w:rsidP="00CE4CF1" w:rsidRDefault="009C4D1D" w14:paraId="653798DA" w14:textId="20EFC6C7">
      <w:pPr>
        <w:pStyle w:val="NormalWeb"/>
        <w:spacing w:before="0" w:beforeAutospacing="0" w:after="0" w:afterAutospacing="0"/>
        <w:rPr>
          <w:rFonts w:asciiTheme="minorHAnsi" w:hAnsiTheme="minorHAnsi" w:cstheme="minorHAnsi"/>
          <w:color w:val="000000" w:themeColor="text1"/>
        </w:rPr>
      </w:pPr>
    </w:p>
    <w:p w:rsidR="009C4D1D" w:rsidP="00CE4CF1" w:rsidRDefault="009C4D1D" w14:paraId="29A98321" w14:textId="4D1DE4F2">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Robust mechanisms and quality assurance processes are in place at all stages in the design and approval of programmes, in assessment design, and in ensuring that consist rules govern the </w:t>
      </w:r>
      <w:r>
        <w:rPr>
          <w:rFonts w:asciiTheme="minorHAnsi" w:hAnsiTheme="minorHAnsi" w:cstheme="minorHAnsi"/>
          <w:color w:val="000000" w:themeColor="text1"/>
        </w:rPr>
        <w:lastRenderedPageBreak/>
        <w:t>operational aspects of assessment, marking, moderation and – in the case of collaborative partnerships – cross-moderation of student scripts to ensure comparability of both marking standards and feedback practices</w:t>
      </w:r>
      <w:r w:rsidR="00F854EC">
        <w:rPr>
          <w:rFonts w:asciiTheme="minorHAnsi" w:hAnsiTheme="minorHAnsi" w:cstheme="minorHAnsi"/>
          <w:color w:val="000000" w:themeColor="text1"/>
        </w:rPr>
        <w:t>, and close liaison between programme teaching teams.</w:t>
      </w:r>
      <w:r>
        <w:rPr>
          <w:rFonts w:asciiTheme="minorHAnsi" w:hAnsiTheme="minorHAnsi" w:cstheme="minorHAnsi"/>
          <w:color w:val="000000" w:themeColor="text1"/>
        </w:rPr>
        <w:t xml:space="preserve"> </w:t>
      </w:r>
      <w:r w:rsidR="00F81E12">
        <w:rPr>
          <w:rFonts w:asciiTheme="minorHAnsi" w:hAnsiTheme="minorHAnsi" w:cstheme="minorHAnsi"/>
          <w:color w:val="000000" w:themeColor="text1"/>
        </w:rPr>
        <w:t>A Partnership Liaison Manager (always an experienced member of our academic staff) is appointed to every programme</w:t>
      </w:r>
      <w:r w:rsidR="00B83C3C">
        <w:rPr>
          <w:rFonts w:asciiTheme="minorHAnsi" w:hAnsiTheme="minorHAnsi" w:cstheme="minorHAnsi"/>
          <w:color w:val="000000" w:themeColor="text1"/>
        </w:rPr>
        <w:t xml:space="preserve"> </w:t>
      </w:r>
      <w:r w:rsidR="00F81E12">
        <w:rPr>
          <w:rFonts w:asciiTheme="minorHAnsi" w:hAnsiTheme="minorHAnsi" w:cstheme="minorHAnsi"/>
          <w:color w:val="000000" w:themeColor="text1"/>
        </w:rPr>
        <w:t xml:space="preserve">run in conjunction with collaborative partners. They play a crucial role in ensuring that programmes run in partnership conform to the same high standards in terms of assessment, feedback, moderation, and marking standards, and meet regularly with the delivery team to ensure that there is comparability of quality and standards in all aspects of programme management and delivery. </w:t>
      </w:r>
      <w:r>
        <w:rPr>
          <w:rFonts w:asciiTheme="minorHAnsi" w:hAnsiTheme="minorHAnsi" w:cstheme="minorHAnsi"/>
          <w:color w:val="000000" w:themeColor="text1"/>
        </w:rPr>
        <w:t xml:space="preserve">The University ensures that its assessment and marking standards are properly informed by and compliant with the expectations of our regulator in terms of </w:t>
      </w:r>
      <w:r w:rsidR="00F854EC">
        <w:rPr>
          <w:rFonts w:asciiTheme="minorHAnsi" w:hAnsiTheme="minorHAnsi" w:cstheme="minorHAnsi"/>
          <w:color w:val="000000" w:themeColor="text1"/>
        </w:rPr>
        <w:t>external scrutiny of standards by external examiners</w:t>
      </w:r>
      <w:r w:rsidR="00D3462D">
        <w:rPr>
          <w:rFonts w:asciiTheme="minorHAnsi" w:hAnsiTheme="minorHAnsi" w:cstheme="minorHAnsi"/>
          <w:color w:val="000000" w:themeColor="text1"/>
        </w:rPr>
        <w:t>, who exam</w:t>
      </w:r>
      <w:r w:rsidR="00C74A21">
        <w:rPr>
          <w:rFonts w:asciiTheme="minorHAnsi" w:hAnsiTheme="minorHAnsi" w:cstheme="minorHAnsi"/>
          <w:color w:val="000000" w:themeColor="text1"/>
        </w:rPr>
        <w:t>ine</w:t>
      </w:r>
      <w:r w:rsidR="00D3462D">
        <w:rPr>
          <w:rFonts w:asciiTheme="minorHAnsi" w:hAnsiTheme="minorHAnsi" w:cstheme="minorHAnsi"/>
          <w:color w:val="000000" w:themeColor="text1"/>
        </w:rPr>
        <w:t xml:space="preserve"> samples of marked work for every module and for every programme, including </w:t>
      </w:r>
      <w:r w:rsidR="00F81E12">
        <w:rPr>
          <w:rFonts w:asciiTheme="minorHAnsi" w:hAnsiTheme="minorHAnsi" w:cstheme="minorHAnsi"/>
          <w:color w:val="000000" w:themeColor="text1"/>
        </w:rPr>
        <w:t>franchised programmes with collaborative partners.</w:t>
      </w:r>
    </w:p>
    <w:p w:rsidR="00C538B7" w:rsidP="00CE4CF1" w:rsidRDefault="00C538B7" w14:paraId="59169762" w14:textId="52BA8183">
      <w:pPr>
        <w:pStyle w:val="NormalWeb"/>
        <w:spacing w:before="0" w:beforeAutospacing="0" w:after="0" w:afterAutospacing="0"/>
        <w:rPr>
          <w:rFonts w:asciiTheme="minorHAnsi" w:hAnsiTheme="minorHAnsi" w:cstheme="minorHAnsi"/>
          <w:color w:val="000000" w:themeColor="text1"/>
        </w:rPr>
      </w:pPr>
    </w:p>
    <w:p w:rsidR="00C538B7" w:rsidP="00C538B7" w:rsidRDefault="00C538B7" w14:paraId="2E5C542D" w14:textId="3A22FF4E">
      <w:pPr>
        <w:pStyle w:val="Style1"/>
      </w:pPr>
      <w:r>
        <w:t>Section 5 Identifying good practice and actions</w:t>
      </w:r>
    </w:p>
    <w:p w:rsidRPr="00C538B7" w:rsidR="00C538B7" w:rsidP="00C538B7" w:rsidRDefault="00C538B7" w14:paraId="2716087B" w14:textId="5C48240B">
      <w:pPr>
        <w:pStyle w:val="NormalWeb"/>
        <w:spacing w:before="0" w:beforeAutospacing="0" w:after="0" w:afterAutospacing="0"/>
        <w:rPr>
          <w:rFonts w:asciiTheme="minorHAnsi" w:hAnsiTheme="minorHAnsi" w:cstheme="minorHAnsi"/>
        </w:rPr>
      </w:pPr>
      <w:r w:rsidRPr="00C538B7">
        <w:rPr>
          <w:rFonts w:asciiTheme="minorHAnsi" w:hAnsiTheme="minorHAnsi" w:cstheme="minorHAnsi"/>
        </w:rPr>
        <w:t>Th</w:t>
      </w:r>
      <w:r w:rsidR="004C7643">
        <w:rPr>
          <w:rFonts w:asciiTheme="minorHAnsi" w:hAnsiTheme="minorHAnsi" w:cstheme="minorHAnsi"/>
        </w:rPr>
        <w:t xml:space="preserve">is Degree Outcomes Statement was approved by the </w:t>
      </w:r>
      <w:r w:rsidRPr="00C538B7">
        <w:rPr>
          <w:rFonts w:asciiTheme="minorHAnsi" w:hAnsiTheme="minorHAnsi" w:cstheme="minorHAnsi"/>
        </w:rPr>
        <w:t xml:space="preserve">University’s Academic Board and its Board of Governors. We will add a new section to our Quality Assurance and Enhancement (QAE) Handbook for 2022/23 titled ‘Review and Publication of Degree Outcomes’. This will set out the functions of </w:t>
      </w:r>
      <w:r w:rsidR="004C7643">
        <w:rPr>
          <w:rFonts w:asciiTheme="minorHAnsi" w:hAnsiTheme="minorHAnsi" w:cstheme="minorHAnsi"/>
        </w:rPr>
        <w:t xml:space="preserve">the Degree Outcomes Steering Group (DOSG) in the future, and </w:t>
      </w:r>
      <w:r w:rsidRPr="00C538B7">
        <w:rPr>
          <w:rFonts w:asciiTheme="minorHAnsi" w:hAnsiTheme="minorHAnsi" w:cstheme="minorHAnsi"/>
        </w:rPr>
        <w:t xml:space="preserve">how it reports into our Academic Development Committee, how classification algorithms will be reviewed, and how the Degree Outcome Statement will be published. </w:t>
      </w:r>
    </w:p>
    <w:p w:rsidR="004C7643" w:rsidP="00C538B7" w:rsidRDefault="004C7643" w14:paraId="3F3C985F" w14:textId="77777777">
      <w:pPr>
        <w:pStyle w:val="NormalWeb"/>
        <w:spacing w:before="0" w:beforeAutospacing="0" w:after="0" w:afterAutospacing="0"/>
        <w:rPr>
          <w:rFonts w:asciiTheme="minorHAnsi" w:hAnsiTheme="minorHAnsi" w:cstheme="minorHAnsi"/>
        </w:rPr>
      </w:pPr>
    </w:p>
    <w:p w:rsidRPr="00C538B7" w:rsidR="00C538B7" w:rsidP="00C538B7" w:rsidRDefault="00C538B7" w14:paraId="06795552" w14:textId="2827522E">
      <w:pPr>
        <w:pStyle w:val="NormalWeb"/>
        <w:spacing w:before="0" w:beforeAutospacing="0" w:after="0" w:afterAutospacing="0"/>
        <w:rPr>
          <w:rFonts w:asciiTheme="minorHAnsi" w:hAnsiTheme="minorHAnsi" w:cstheme="minorHAnsi"/>
        </w:rPr>
      </w:pPr>
      <w:r w:rsidRPr="00C538B7">
        <w:rPr>
          <w:rFonts w:asciiTheme="minorHAnsi" w:hAnsiTheme="minorHAnsi" w:cstheme="minorHAnsi"/>
        </w:rPr>
        <w:t xml:space="preserve">The DOSG </w:t>
      </w:r>
      <w:r w:rsidR="004C7643">
        <w:rPr>
          <w:rFonts w:asciiTheme="minorHAnsi" w:hAnsiTheme="minorHAnsi" w:cstheme="minorHAnsi"/>
        </w:rPr>
        <w:t xml:space="preserve">will </w:t>
      </w:r>
      <w:r w:rsidRPr="00C538B7">
        <w:rPr>
          <w:rFonts w:asciiTheme="minorHAnsi" w:hAnsiTheme="minorHAnsi" w:cstheme="minorHAnsi"/>
        </w:rPr>
        <w:t xml:space="preserve">exercise a high level of diligence in its work and </w:t>
      </w:r>
      <w:r w:rsidR="00B83C3C">
        <w:rPr>
          <w:rFonts w:asciiTheme="minorHAnsi" w:hAnsiTheme="minorHAnsi" w:cstheme="minorHAnsi"/>
        </w:rPr>
        <w:t xml:space="preserve">will </w:t>
      </w:r>
      <w:r w:rsidRPr="00C538B7">
        <w:rPr>
          <w:rFonts w:asciiTheme="minorHAnsi" w:hAnsiTheme="minorHAnsi" w:cstheme="minorHAnsi"/>
        </w:rPr>
        <w:t xml:space="preserve">draw on high quality internal and external data to ensure that measures are put in place, and actions taken when necessary, to ensure that </w:t>
      </w:r>
      <w:r w:rsidR="00B83C3C">
        <w:rPr>
          <w:rFonts w:asciiTheme="minorHAnsi" w:hAnsiTheme="minorHAnsi" w:cstheme="minorHAnsi"/>
        </w:rPr>
        <w:t xml:space="preserve">any </w:t>
      </w:r>
      <w:r w:rsidRPr="00C538B7">
        <w:rPr>
          <w:rFonts w:asciiTheme="minorHAnsi" w:hAnsiTheme="minorHAnsi" w:cstheme="minorHAnsi"/>
        </w:rPr>
        <w:t>inflationary pressures on good honours are kept in check. DOSG will review good honours data on an annual basis, and, where necessary, will propose amendments to our algorithms to maintain standards, thereby safeguarding the quality and rigour of our awards.</w:t>
      </w:r>
      <w:r w:rsidR="00B83C3C">
        <w:rPr>
          <w:rFonts w:asciiTheme="minorHAnsi" w:hAnsiTheme="minorHAnsi" w:cstheme="minorHAnsi"/>
        </w:rPr>
        <w:t xml:space="preserve"> From 2023,</w:t>
      </w:r>
      <w:r w:rsidRPr="00C538B7">
        <w:rPr>
          <w:rFonts w:asciiTheme="minorHAnsi" w:hAnsiTheme="minorHAnsi" w:cstheme="minorHAnsi"/>
        </w:rPr>
        <w:t xml:space="preserve"> our University Exam Boards will also monitor good honours outcomes more closely, and a copy of our Degree Outcomes Statement will be flagged for all members in advance. The Exam Board secretary will provide a tally of </w:t>
      </w:r>
      <w:r w:rsidR="00B83C3C">
        <w:rPr>
          <w:rFonts w:asciiTheme="minorHAnsi" w:hAnsiTheme="minorHAnsi" w:cstheme="minorHAnsi"/>
        </w:rPr>
        <w:t xml:space="preserve">good honours </w:t>
      </w:r>
      <w:r w:rsidRPr="00C538B7">
        <w:rPr>
          <w:rFonts w:asciiTheme="minorHAnsi" w:hAnsiTheme="minorHAnsi" w:cstheme="minorHAnsi"/>
        </w:rPr>
        <w:t xml:space="preserve">outcomes which will be </w:t>
      </w:r>
      <w:r w:rsidR="00B83C3C">
        <w:rPr>
          <w:rFonts w:asciiTheme="minorHAnsi" w:hAnsiTheme="minorHAnsi" w:cstheme="minorHAnsi"/>
        </w:rPr>
        <w:t>communicated</w:t>
      </w:r>
      <w:r w:rsidRPr="00C538B7">
        <w:rPr>
          <w:rFonts w:asciiTheme="minorHAnsi" w:hAnsiTheme="minorHAnsi" w:cstheme="minorHAnsi"/>
        </w:rPr>
        <w:t xml:space="preserve"> to DOSG, enabling the group to monitor this metric in a timely manner</w:t>
      </w:r>
      <w:r w:rsidR="00B83C3C">
        <w:rPr>
          <w:rFonts w:asciiTheme="minorHAnsi" w:hAnsiTheme="minorHAnsi" w:cstheme="minorHAnsi"/>
        </w:rPr>
        <w:t xml:space="preserve"> through the academic year.</w:t>
      </w:r>
    </w:p>
    <w:p w:rsidR="00F53255" w:rsidP="00CE4CF1" w:rsidRDefault="00F53255" w14:paraId="6CDB76A6" w14:textId="77777777">
      <w:pPr>
        <w:rPr>
          <w:b/>
          <w:bCs/>
          <w:sz w:val="24"/>
          <w:szCs w:val="24"/>
        </w:rPr>
      </w:pPr>
    </w:p>
    <w:p w:rsidRPr="00761E70" w:rsidR="006538D5" w:rsidP="0063619F" w:rsidRDefault="00F53255" w14:paraId="3A63B0CC" w14:textId="54BE02F1">
      <w:pPr>
        <w:pStyle w:val="Style1"/>
      </w:pPr>
      <w:r w:rsidRPr="00761E70">
        <w:t xml:space="preserve">Section </w:t>
      </w:r>
      <w:r w:rsidR="00C538B7">
        <w:t>6</w:t>
      </w:r>
      <w:r w:rsidR="0063619F">
        <w:t xml:space="preserve"> </w:t>
      </w:r>
      <w:r w:rsidRPr="00761E70" w:rsidR="006538D5">
        <w:t xml:space="preserve">Risks </w:t>
      </w:r>
      <w:r w:rsidR="0063619F">
        <w:t>and</w:t>
      </w:r>
      <w:r w:rsidRPr="00761E70" w:rsidR="006538D5">
        <w:t xml:space="preserve"> challenges</w:t>
      </w:r>
    </w:p>
    <w:p w:rsidR="00015705" w:rsidP="00CE4CF1" w:rsidRDefault="0063619F" w14:paraId="051FA871" w14:textId="2D15AB04">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It is likely </w:t>
      </w:r>
      <w:r w:rsidR="006538D5">
        <w:rPr>
          <w:rFonts w:asciiTheme="minorHAnsi" w:hAnsiTheme="minorHAnsi" w:cstheme="minorHAnsi"/>
          <w:color w:val="000000" w:themeColor="text1"/>
        </w:rPr>
        <w:t xml:space="preserve">that the University’s investment in </w:t>
      </w:r>
      <w:r>
        <w:rPr>
          <w:rFonts w:asciiTheme="minorHAnsi" w:hAnsiTheme="minorHAnsi" w:cstheme="minorHAnsi"/>
          <w:color w:val="000000" w:themeColor="text1"/>
        </w:rPr>
        <w:t>enhanced</w:t>
      </w:r>
      <w:r w:rsidR="006538D5">
        <w:rPr>
          <w:rFonts w:asciiTheme="minorHAnsi" w:hAnsiTheme="minorHAnsi" w:cstheme="minorHAnsi"/>
          <w:color w:val="000000" w:themeColor="text1"/>
        </w:rPr>
        <w:t xml:space="preserve"> learning resources, spaces and equipment, and continued commitment to </w:t>
      </w:r>
      <w:r>
        <w:rPr>
          <w:rFonts w:asciiTheme="minorHAnsi" w:hAnsiTheme="minorHAnsi" w:cstheme="minorHAnsi"/>
          <w:color w:val="000000" w:themeColor="text1"/>
        </w:rPr>
        <w:t>improving</w:t>
      </w:r>
      <w:r w:rsidR="006538D5">
        <w:rPr>
          <w:rFonts w:asciiTheme="minorHAnsi" w:hAnsiTheme="minorHAnsi" w:cstheme="minorHAnsi"/>
          <w:color w:val="000000" w:themeColor="text1"/>
        </w:rPr>
        <w:t xml:space="preserve"> teaching and learning will positively impact on student performance</w:t>
      </w:r>
      <w:r w:rsidR="00B83C3C">
        <w:rPr>
          <w:rFonts w:asciiTheme="minorHAnsi" w:hAnsiTheme="minorHAnsi" w:cstheme="minorHAnsi"/>
          <w:color w:val="000000" w:themeColor="text1"/>
        </w:rPr>
        <w:t xml:space="preserve">. This </w:t>
      </w:r>
      <w:r w:rsidR="006538D5">
        <w:rPr>
          <w:rFonts w:asciiTheme="minorHAnsi" w:hAnsiTheme="minorHAnsi" w:cstheme="minorHAnsi"/>
          <w:color w:val="000000" w:themeColor="text1"/>
        </w:rPr>
        <w:t xml:space="preserve">will exert upwards pressure on </w:t>
      </w:r>
      <w:r w:rsidR="00721B8B">
        <w:rPr>
          <w:rFonts w:asciiTheme="minorHAnsi" w:hAnsiTheme="minorHAnsi" w:cstheme="minorHAnsi"/>
          <w:color w:val="000000" w:themeColor="text1"/>
        </w:rPr>
        <w:t xml:space="preserve">the proportion of students being awarded </w:t>
      </w:r>
      <w:r w:rsidR="006538D5">
        <w:rPr>
          <w:rFonts w:asciiTheme="minorHAnsi" w:hAnsiTheme="minorHAnsi" w:cstheme="minorHAnsi"/>
          <w:color w:val="000000" w:themeColor="text1"/>
        </w:rPr>
        <w:t>good honours outcomes. In</w:t>
      </w:r>
      <w:r w:rsidR="00721B8B">
        <w:rPr>
          <w:rFonts w:asciiTheme="minorHAnsi" w:hAnsiTheme="minorHAnsi" w:cstheme="minorHAnsi"/>
          <w:color w:val="000000" w:themeColor="text1"/>
        </w:rPr>
        <w:t xml:space="preserve">creases in </w:t>
      </w:r>
      <w:r w:rsidR="006538D5">
        <w:rPr>
          <w:rFonts w:asciiTheme="minorHAnsi" w:hAnsiTheme="minorHAnsi" w:cstheme="minorHAnsi"/>
          <w:color w:val="000000" w:themeColor="text1"/>
        </w:rPr>
        <w:t xml:space="preserve">good honours </w:t>
      </w:r>
      <w:r w:rsidR="00721B8B">
        <w:rPr>
          <w:rFonts w:asciiTheme="minorHAnsi" w:hAnsiTheme="minorHAnsi" w:cstheme="minorHAnsi"/>
          <w:color w:val="000000" w:themeColor="text1"/>
        </w:rPr>
        <w:t xml:space="preserve">outcomes </w:t>
      </w:r>
      <w:r w:rsidR="006538D5">
        <w:rPr>
          <w:rFonts w:asciiTheme="minorHAnsi" w:hAnsiTheme="minorHAnsi" w:cstheme="minorHAnsi"/>
          <w:color w:val="000000" w:themeColor="text1"/>
        </w:rPr>
        <w:t>may also be driven by achieving the closure of awarding ga</w:t>
      </w:r>
      <w:r w:rsidR="00B83C3C">
        <w:rPr>
          <w:rFonts w:asciiTheme="minorHAnsi" w:hAnsiTheme="minorHAnsi" w:cstheme="minorHAnsi"/>
          <w:color w:val="000000" w:themeColor="text1"/>
        </w:rPr>
        <w:t>p</w:t>
      </w:r>
      <w:r w:rsidR="006538D5">
        <w:rPr>
          <w:rFonts w:asciiTheme="minorHAnsi" w:hAnsiTheme="minorHAnsi" w:cstheme="minorHAnsi"/>
          <w:color w:val="000000" w:themeColor="text1"/>
        </w:rPr>
        <w:t xml:space="preserve">s as set out in the </w:t>
      </w:r>
      <w:hyperlink w:history="1" r:id="rId25">
        <w:r w:rsidRPr="000D13A1" w:rsidR="006538D5">
          <w:rPr>
            <w:rStyle w:val="Hyperlink"/>
            <w:rFonts w:asciiTheme="minorHAnsi" w:hAnsiTheme="minorHAnsi" w:cstheme="minorHAnsi"/>
          </w:rPr>
          <w:t>University’s Access &amp; Participation Plan (APP).</w:t>
        </w:r>
      </w:hyperlink>
      <w:r w:rsidR="006538D5">
        <w:rPr>
          <w:rFonts w:asciiTheme="minorHAnsi" w:hAnsiTheme="minorHAnsi" w:cstheme="minorHAnsi"/>
          <w:color w:val="000000" w:themeColor="text1"/>
        </w:rPr>
        <w:t xml:space="preserve"> </w:t>
      </w:r>
      <w:r w:rsidR="00721B8B">
        <w:rPr>
          <w:rFonts w:asciiTheme="minorHAnsi" w:hAnsiTheme="minorHAnsi" w:cstheme="minorHAnsi"/>
          <w:color w:val="000000" w:themeColor="text1"/>
        </w:rPr>
        <w:t xml:space="preserve">Closing awarding gaps </w:t>
      </w:r>
      <w:r w:rsidR="006538D5">
        <w:rPr>
          <w:rFonts w:asciiTheme="minorHAnsi" w:hAnsiTheme="minorHAnsi" w:cstheme="minorHAnsi"/>
          <w:color w:val="000000" w:themeColor="text1"/>
        </w:rPr>
        <w:t xml:space="preserve">whilst avoiding </w:t>
      </w:r>
      <w:r w:rsidR="00721B8B">
        <w:rPr>
          <w:rFonts w:asciiTheme="minorHAnsi" w:hAnsiTheme="minorHAnsi" w:cstheme="minorHAnsi"/>
          <w:color w:val="000000" w:themeColor="text1"/>
        </w:rPr>
        <w:t xml:space="preserve">overall </w:t>
      </w:r>
      <w:r w:rsidR="006538D5">
        <w:rPr>
          <w:rFonts w:asciiTheme="minorHAnsi" w:hAnsiTheme="minorHAnsi" w:cstheme="minorHAnsi"/>
          <w:color w:val="000000" w:themeColor="text1"/>
        </w:rPr>
        <w:t>increases in good honours figures in the future will be</w:t>
      </w:r>
      <w:r w:rsidR="00721B8B">
        <w:rPr>
          <w:rFonts w:asciiTheme="minorHAnsi" w:hAnsiTheme="minorHAnsi" w:cstheme="minorHAnsi"/>
          <w:color w:val="000000" w:themeColor="text1"/>
        </w:rPr>
        <w:t xml:space="preserve"> challenging</w:t>
      </w:r>
      <w:r w:rsidR="006538D5">
        <w:rPr>
          <w:rFonts w:asciiTheme="minorHAnsi" w:hAnsiTheme="minorHAnsi" w:cstheme="minorHAnsi"/>
          <w:color w:val="000000" w:themeColor="text1"/>
        </w:rPr>
        <w:t xml:space="preserve">. </w:t>
      </w:r>
      <w:r>
        <w:rPr>
          <w:rFonts w:asciiTheme="minorHAnsi" w:hAnsiTheme="minorHAnsi" w:cstheme="minorHAnsi"/>
          <w:color w:val="000000" w:themeColor="text1"/>
        </w:rPr>
        <w:br/>
      </w:r>
    </w:p>
    <w:p w:rsidR="00015705" w:rsidP="00CE4CF1" w:rsidRDefault="00015705" w14:paraId="1846C98B" w14:textId="16B37505">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The University has, within its </w:t>
      </w:r>
      <w:hyperlink w:history="1" r:id="rId26">
        <w:r w:rsidRPr="000D13A1">
          <w:rPr>
            <w:rStyle w:val="Hyperlink"/>
            <w:rFonts w:asciiTheme="minorHAnsi" w:hAnsiTheme="minorHAnsi" w:cstheme="minorHAnsi"/>
          </w:rPr>
          <w:t>Vision 2030</w:t>
        </w:r>
      </w:hyperlink>
      <w:r>
        <w:rPr>
          <w:rFonts w:asciiTheme="minorHAnsi" w:hAnsiTheme="minorHAnsi" w:cstheme="minorHAnsi"/>
          <w:color w:val="000000" w:themeColor="text1"/>
        </w:rPr>
        <w:t xml:space="preserve"> mission statement, identified growth in collaborative partnerships as a key priority. As it grows this aspect of its provision, however, the University will be mindful of the need to ensure parity of quality and standards, especially in relation to the quality of teaching and learning, and marking practices. We have set out in earlier sections of this Statement the safeguards and quality assurance processes that are already in place to ensure comparability of standards, but close monitoring of the operational delivery and student degree outcomes on all partnership programmes will remain a key priority for our Collaborative Partnerships Committee, Academic Development Committee, Academic Board and our Board of Governors</w:t>
      </w:r>
      <w:r w:rsidR="00DD3F88">
        <w:rPr>
          <w:rFonts w:asciiTheme="minorHAnsi" w:hAnsiTheme="minorHAnsi" w:cstheme="minorHAnsi"/>
          <w:color w:val="000000" w:themeColor="text1"/>
        </w:rPr>
        <w:t>. A</w:t>
      </w:r>
      <w:r>
        <w:rPr>
          <w:rFonts w:asciiTheme="minorHAnsi" w:hAnsiTheme="minorHAnsi" w:cstheme="minorHAnsi"/>
          <w:color w:val="000000" w:themeColor="text1"/>
        </w:rPr>
        <w:t xml:space="preserve">ll stakeholders </w:t>
      </w:r>
      <w:r w:rsidR="00DD3F88">
        <w:rPr>
          <w:rFonts w:asciiTheme="minorHAnsi" w:hAnsiTheme="minorHAnsi" w:cstheme="minorHAnsi"/>
          <w:color w:val="000000" w:themeColor="text1"/>
        </w:rPr>
        <w:t xml:space="preserve">must </w:t>
      </w:r>
      <w:r>
        <w:rPr>
          <w:rFonts w:asciiTheme="minorHAnsi" w:hAnsiTheme="minorHAnsi" w:cstheme="minorHAnsi"/>
          <w:color w:val="000000" w:themeColor="text1"/>
        </w:rPr>
        <w:t xml:space="preserve">have confidence that any increases in good honours degree outcomes are fully </w:t>
      </w:r>
      <w:r w:rsidR="008168B6">
        <w:rPr>
          <w:rFonts w:asciiTheme="minorHAnsi" w:hAnsiTheme="minorHAnsi" w:cstheme="minorHAnsi"/>
          <w:color w:val="000000" w:themeColor="text1"/>
        </w:rPr>
        <w:t xml:space="preserve">merited and </w:t>
      </w:r>
      <w:r>
        <w:rPr>
          <w:rFonts w:asciiTheme="minorHAnsi" w:hAnsiTheme="minorHAnsi" w:cstheme="minorHAnsi"/>
          <w:color w:val="000000" w:themeColor="text1"/>
        </w:rPr>
        <w:t>justified</w:t>
      </w:r>
      <w:r w:rsidR="008168B6">
        <w:rPr>
          <w:rFonts w:asciiTheme="minorHAnsi" w:hAnsiTheme="minorHAnsi" w:cstheme="minorHAnsi"/>
          <w:color w:val="000000" w:themeColor="text1"/>
        </w:rPr>
        <w:t xml:space="preserve"> by real improvements in our students’ performance.</w:t>
      </w:r>
    </w:p>
    <w:p w:rsidRPr="00D136FB" w:rsidR="00837AC9" w:rsidP="00CE4CF1" w:rsidRDefault="00837AC9" w14:paraId="17C7ABCE" w14:textId="77777777">
      <w:pPr>
        <w:pStyle w:val="NormalWeb"/>
        <w:spacing w:before="0" w:beforeAutospacing="0" w:after="0" w:afterAutospacing="0"/>
        <w:rPr>
          <w:rFonts w:asciiTheme="minorHAnsi" w:hAnsiTheme="minorHAnsi" w:cstheme="minorHAnsi"/>
          <w:color w:val="000000" w:themeColor="text1"/>
        </w:rPr>
      </w:pPr>
    </w:p>
    <w:p w:rsidR="00D136FB" w:rsidP="00CE4CF1" w:rsidRDefault="00D136FB" w14:paraId="4B9D4300" w14:textId="77777777">
      <w:pPr>
        <w:pStyle w:val="NormalWeb"/>
        <w:spacing w:before="0" w:beforeAutospacing="0" w:after="0" w:afterAutospacing="0"/>
        <w:rPr>
          <w:rFonts w:asciiTheme="minorHAnsi" w:hAnsiTheme="minorHAnsi" w:cstheme="minorHAnsi"/>
          <w:color w:val="000000" w:themeColor="text1"/>
        </w:rPr>
      </w:pPr>
    </w:p>
    <w:p w:rsidR="00D136FB" w:rsidP="00CE4CF1" w:rsidRDefault="00D136FB" w14:paraId="4D37F731" w14:textId="77777777">
      <w:pPr>
        <w:pStyle w:val="NormalWeb"/>
        <w:spacing w:before="0" w:beforeAutospacing="0" w:after="0" w:afterAutospacing="0"/>
        <w:rPr>
          <w:rFonts w:asciiTheme="minorHAnsi" w:hAnsiTheme="minorHAnsi" w:cstheme="minorHAnsi"/>
          <w:color w:val="000000" w:themeColor="text1"/>
        </w:rPr>
      </w:pPr>
    </w:p>
    <w:p w:rsidRPr="00D136FB" w:rsidR="00514C42" w:rsidP="00CE4CF1" w:rsidRDefault="00D136FB" w14:paraId="332F2668" w14:textId="6B203256">
      <w:pPr>
        <w:pStyle w:val="NormalWeb"/>
        <w:spacing w:before="0" w:beforeAutospacing="0" w:after="0" w:afterAutospacing="0"/>
        <w:rPr>
          <w:rFonts w:asciiTheme="minorHAnsi" w:hAnsiTheme="minorHAnsi" w:cstheme="minorHAnsi"/>
          <w:color w:val="000000" w:themeColor="text1"/>
        </w:rPr>
      </w:pPr>
      <w:r w:rsidRPr="00D136FB">
        <w:rPr>
          <w:rFonts w:asciiTheme="minorHAnsi" w:hAnsiTheme="minorHAnsi" w:cstheme="minorHAnsi"/>
          <w:color w:val="000000" w:themeColor="text1"/>
        </w:rPr>
        <w:t>25 Nov</w:t>
      </w:r>
      <w:r>
        <w:rPr>
          <w:rFonts w:asciiTheme="minorHAnsi" w:hAnsiTheme="minorHAnsi" w:cstheme="minorHAnsi"/>
          <w:color w:val="000000" w:themeColor="text1"/>
        </w:rPr>
        <w:t>ember</w:t>
      </w:r>
      <w:r w:rsidRPr="00D136FB">
        <w:rPr>
          <w:rFonts w:asciiTheme="minorHAnsi" w:hAnsiTheme="minorHAnsi" w:cstheme="minorHAnsi"/>
          <w:color w:val="000000" w:themeColor="text1"/>
        </w:rPr>
        <w:t xml:space="preserve"> 2022</w:t>
      </w:r>
    </w:p>
    <w:sectPr w:rsidRPr="00D136FB" w:rsidR="00514C42" w:rsidSect="00481FB0">
      <w:footerReference w:type="default" r:id="rId27"/>
      <w:pgSz w:w="11906" w:h="16838" w:code="9"/>
      <w:pgMar w:top="709" w:right="1440" w:bottom="851" w:left="1440"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93F0" w14:textId="77777777" w:rsidR="00B56AE5" w:rsidRDefault="00B56AE5" w:rsidP="004B1A6B">
      <w:r>
        <w:separator/>
      </w:r>
    </w:p>
  </w:endnote>
  <w:endnote w:type="continuationSeparator" w:id="0">
    <w:p w14:paraId="04846B19" w14:textId="77777777" w:rsidR="00B56AE5" w:rsidRDefault="00B56AE5" w:rsidP="004B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295819"/>
      <w:docPartObj>
        <w:docPartGallery w:val="Page Numbers (Bottom of Page)"/>
        <w:docPartUnique/>
      </w:docPartObj>
    </w:sdtPr>
    <w:sdtEndPr>
      <w:rPr>
        <w:noProof/>
      </w:rPr>
    </w:sdtEndPr>
    <w:sdtContent>
      <w:p w14:paraId="07254181" w14:textId="77777777" w:rsidR="00972E74" w:rsidRDefault="00972E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4EAEC8" w14:textId="77777777" w:rsidR="00972E74" w:rsidRDefault="00972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B43A" w14:textId="77777777" w:rsidR="00B56AE5" w:rsidRDefault="00B56AE5" w:rsidP="004B1A6B">
      <w:r>
        <w:separator/>
      </w:r>
    </w:p>
  </w:footnote>
  <w:footnote w:type="continuationSeparator" w:id="0">
    <w:p w14:paraId="48FD42DF" w14:textId="77777777" w:rsidR="00B56AE5" w:rsidRDefault="00B56AE5" w:rsidP="004B1A6B">
      <w:r>
        <w:continuationSeparator/>
      </w:r>
    </w:p>
  </w:footnote>
  <w:footnote w:id="1">
    <w:p w14:paraId="14559C7F" w14:textId="2E025AD3" w:rsidR="00C93B82" w:rsidRPr="00D136FB" w:rsidRDefault="00C93B82" w:rsidP="00D136FB">
      <w:pPr>
        <w:rPr>
          <w:rFonts w:asciiTheme="minorHAnsi" w:hAnsiTheme="minorHAnsi" w:cstheme="minorBidi"/>
          <w:sz w:val="20"/>
          <w:szCs w:val="20"/>
        </w:rPr>
      </w:pPr>
      <w:r>
        <w:rPr>
          <w:rStyle w:val="FootnoteReference"/>
        </w:rPr>
        <w:footnoteRef/>
      </w:r>
      <w:r>
        <w:t xml:space="preserve"> </w:t>
      </w:r>
      <w:bookmarkStart w:id="1" w:name="_Hlk119396397"/>
      <w:r w:rsidRPr="00E80B47">
        <w:rPr>
          <w:rFonts w:asciiTheme="minorHAnsi" w:hAnsiTheme="minorHAnsi" w:cstheme="minorBidi"/>
          <w:sz w:val="20"/>
          <w:szCs w:val="20"/>
        </w:rPr>
        <w:t>BLS = Institute of Business, Law and Society</w:t>
      </w:r>
      <w:r>
        <w:rPr>
          <w:rFonts w:asciiTheme="minorHAnsi" w:hAnsiTheme="minorHAnsi" w:cstheme="minorBidi"/>
          <w:sz w:val="20"/>
          <w:szCs w:val="20"/>
        </w:rPr>
        <w:t xml:space="preserve">; </w:t>
      </w:r>
      <w:r w:rsidRPr="00E80B47">
        <w:rPr>
          <w:rFonts w:asciiTheme="minorHAnsi" w:hAnsiTheme="minorHAnsi" w:cstheme="minorBidi"/>
          <w:sz w:val="20"/>
          <w:szCs w:val="20"/>
        </w:rPr>
        <w:t>EDU = Institute of Education</w:t>
      </w:r>
      <w:r>
        <w:rPr>
          <w:rFonts w:asciiTheme="minorHAnsi" w:hAnsiTheme="minorHAnsi" w:cstheme="minorBidi"/>
          <w:sz w:val="20"/>
          <w:szCs w:val="20"/>
        </w:rPr>
        <w:t xml:space="preserve">; </w:t>
      </w:r>
      <w:r w:rsidRPr="00E80B47">
        <w:rPr>
          <w:rFonts w:asciiTheme="minorHAnsi" w:hAnsiTheme="minorHAnsi" w:cstheme="minorBidi"/>
          <w:sz w:val="20"/>
          <w:szCs w:val="20"/>
        </w:rPr>
        <w:t>TLA = Institute of Theology and Liberal Arts</w:t>
      </w:r>
      <w:r>
        <w:rPr>
          <w:rFonts w:asciiTheme="minorHAnsi" w:hAnsiTheme="minorHAnsi" w:cstheme="minorBidi"/>
          <w:sz w:val="20"/>
          <w:szCs w:val="20"/>
        </w:rPr>
        <w:t xml:space="preserve">; </w:t>
      </w:r>
      <w:r w:rsidRPr="00E80B47">
        <w:rPr>
          <w:rFonts w:asciiTheme="minorHAnsi" w:hAnsiTheme="minorHAnsi" w:cstheme="minorBidi"/>
          <w:sz w:val="20"/>
          <w:szCs w:val="20"/>
        </w:rPr>
        <w:t>SHA = Faculty of Sport, Applied Health and Performance Science</w:t>
      </w:r>
      <w:r>
        <w:rPr>
          <w:rFonts w:asciiTheme="minorHAnsi" w:hAnsiTheme="minorHAnsi" w:cstheme="minorBidi"/>
          <w:sz w:val="20"/>
          <w:szCs w:val="20"/>
        </w:rPr>
        <w:t xml:space="preserve">; </w:t>
      </w:r>
      <w:r w:rsidRPr="00E80B47">
        <w:rPr>
          <w:rFonts w:asciiTheme="minorHAnsi" w:hAnsiTheme="minorHAnsi" w:cstheme="minorBidi"/>
          <w:sz w:val="20"/>
          <w:szCs w:val="20"/>
        </w:rPr>
        <w:t>Joint = Joint Honours programmes</w:t>
      </w:r>
      <w:r>
        <w:rPr>
          <w:rFonts w:asciiTheme="minorHAnsi" w:hAnsiTheme="minorHAnsi" w:cstheme="minorBidi"/>
          <w:sz w:val="20"/>
          <w:szCs w:val="20"/>
        </w:rPr>
        <w:t>.</w:t>
      </w:r>
      <w:bookmarkEnd w:id="1"/>
    </w:p>
  </w:footnote>
  <w:footnote w:id="2">
    <w:p w14:paraId="32856FD0" w14:textId="07D646C5" w:rsidR="00D136FB" w:rsidRDefault="00D136FB">
      <w:pPr>
        <w:pStyle w:val="FootnoteText"/>
      </w:pPr>
      <w:r>
        <w:rPr>
          <w:rStyle w:val="FootnoteReference"/>
        </w:rPr>
        <w:footnoteRef/>
      </w:r>
      <w:r>
        <w:t xml:space="preserve"> </w:t>
      </w:r>
      <w:r>
        <w:rPr>
          <w:rFonts w:ascii="Calibri" w:eastAsia="Times New Roman" w:hAnsi="Calibri" w:cs="Calibri"/>
          <w:lang w:eastAsia="en-GB"/>
        </w:rPr>
        <w:t>T</w:t>
      </w:r>
      <w:r w:rsidRPr="00D136FB">
        <w:rPr>
          <w:rFonts w:ascii="Calibri" w:eastAsia="Times New Roman" w:hAnsi="Calibri" w:cs="Calibri"/>
          <w:lang w:eastAsia="en-GB"/>
        </w:rPr>
        <w:t>he</w:t>
      </w:r>
      <w:r>
        <w:rPr>
          <w:rFonts w:ascii="Calibri" w:eastAsia="Times New Roman" w:hAnsi="Calibri" w:cs="Calibri"/>
          <w:lang w:eastAsia="en-GB"/>
        </w:rPr>
        <w:t xml:space="preserve"> ethnicity</w:t>
      </w:r>
      <w:r w:rsidRPr="00D136FB">
        <w:rPr>
          <w:rFonts w:ascii="Calibri" w:eastAsia="Times New Roman" w:hAnsi="Calibri" w:cs="Calibri"/>
          <w:lang w:eastAsia="en-GB"/>
        </w:rPr>
        <w:t xml:space="preserve"> data is presented here in summary form</w:t>
      </w:r>
      <w:r>
        <w:rPr>
          <w:rFonts w:ascii="Calibri" w:eastAsia="Times New Roman" w:hAnsi="Calibri" w:cs="Calibri"/>
          <w:lang w:eastAsia="en-GB"/>
        </w:rPr>
        <w:t xml:space="preserve"> to aid a clear understanding of the differences between white and non-white categories</w:t>
      </w:r>
      <w:r w:rsidRPr="00D136FB">
        <w:rPr>
          <w:rFonts w:ascii="Calibri" w:eastAsia="Times New Roman" w:hAnsi="Calibri" w:cs="Calibri"/>
          <w:lang w:eastAsia="en-GB"/>
        </w:rPr>
        <w:t>,</w:t>
      </w:r>
      <w:r>
        <w:rPr>
          <w:rFonts w:ascii="Calibri" w:eastAsia="Times New Roman" w:hAnsi="Calibri" w:cs="Calibri"/>
          <w:lang w:eastAsia="en-GB"/>
        </w:rPr>
        <w:t xml:space="preserve"> but</w:t>
      </w:r>
      <w:r w:rsidRPr="00D136FB">
        <w:rPr>
          <w:rFonts w:ascii="Calibri" w:eastAsia="Times New Roman" w:hAnsi="Calibri" w:cs="Calibri"/>
          <w:lang w:eastAsia="en-GB"/>
        </w:rPr>
        <w:t xml:space="preserve"> the underlying breakdown </w:t>
      </w:r>
      <w:r>
        <w:rPr>
          <w:rFonts w:ascii="Calibri" w:eastAsia="Times New Roman" w:hAnsi="Calibri" w:cs="Calibri"/>
          <w:lang w:eastAsia="en-GB"/>
        </w:rPr>
        <w:t xml:space="preserve">of outcomes for ethnic groups (e.g. ‘Asian’, ‘Black’ and ‘Mixed’) </w:t>
      </w:r>
      <w:r w:rsidRPr="00D136FB">
        <w:rPr>
          <w:rFonts w:ascii="Calibri" w:eastAsia="Times New Roman" w:hAnsi="Calibri" w:cs="Calibri"/>
          <w:lang w:eastAsia="en-GB"/>
        </w:rPr>
        <w:t>is regularly analysed by the relevant University bodies.</w:t>
      </w:r>
    </w:p>
  </w:footnote>
  <w:footnote w:id="3">
    <w:p w14:paraId="0A0CAAA5" w14:textId="6BC3437E" w:rsidR="000D13A1" w:rsidRPr="000D13A1" w:rsidRDefault="000D13A1">
      <w:pPr>
        <w:pStyle w:val="FootnoteText"/>
        <w:rPr>
          <w:rFonts w:cstheme="minorHAnsi"/>
        </w:rPr>
      </w:pPr>
      <w:r w:rsidRPr="000D13A1">
        <w:rPr>
          <w:rStyle w:val="FootnoteReference"/>
          <w:rFonts w:cstheme="minorHAnsi"/>
          <w:color w:val="000000" w:themeColor="text1"/>
        </w:rPr>
        <w:footnoteRef/>
      </w:r>
      <w:r w:rsidRPr="000D13A1">
        <w:rPr>
          <w:rFonts w:cstheme="minorHAnsi"/>
          <w:color w:val="000000" w:themeColor="text1"/>
        </w:rPr>
        <w:t xml:space="preserve"> </w:t>
      </w:r>
      <w:r w:rsidRPr="000D13A1">
        <w:rPr>
          <w:rFonts w:cstheme="minorHAnsi"/>
          <w:color w:val="000000" w:themeColor="text1"/>
          <w:shd w:val="clear" w:color="auto" w:fill="FFFFFF"/>
        </w:rPr>
        <w:t>Power BI is an interactive data visualization software product developed by Microsoft with a focus on business intelligence</w:t>
      </w:r>
      <w:r>
        <w:rPr>
          <w:rFonts w:cstheme="minorHAnsi"/>
          <w:color w:val="000000" w:themeColor="text1"/>
          <w:shd w:val="clear" w:color="auto" w:fill="FFFFFF"/>
        </w:rPr>
        <w:t xml:space="preserve"> and data reporting.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8FE"/>
    <w:multiLevelType w:val="multilevel"/>
    <w:tmpl w:val="915C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D136A"/>
    <w:multiLevelType w:val="hybridMultilevel"/>
    <w:tmpl w:val="1B00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A958E5"/>
    <w:multiLevelType w:val="multilevel"/>
    <w:tmpl w:val="1D187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E434F"/>
    <w:multiLevelType w:val="multilevel"/>
    <w:tmpl w:val="C4A4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11B78"/>
    <w:multiLevelType w:val="multilevel"/>
    <w:tmpl w:val="21A4D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E6993"/>
    <w:multiLevelType w:val="hybridMultilevel"/>
    <w:tmpl w:val="22CA1ED6"/>
    <w:lvl w:ilvl="0" w:tplc="EBAA96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5C561A"/>
    <w:multiLevelType w:val="hybridMultilevel"/>
    <w:tmpl w:val="F27290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9504F"/>
    <w:multiLevelType w:val="multilevel"/>
    <w:tmpl w:val="7916D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2788E"/>
    <w:multiLevelType w:val="hybridMultilevel"/>
    <w:tmpl w:val="801C3F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0E343A8"/>
    <w:multiLevelType w:val="hybridMultilevel"/>
    <w:tmpl w:val="DCDC6278"/>
    <w:lvl w:ilvl="0" w:tplc="9D1EFC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931AD8"/>
    <w:multiLevelType w:val="hybridMultilevel"/>
    <w:tmpl w:val="F7588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CD1003"/>
    <w:multiLevelType w:val="multilevel"/>
    <w:tmpl w:val="00EE1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7F3ABC"/>
    <w:multiLevelType w:val="hybridMultilevel"/>
    <w:tmpl w:val="05BEB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42188D"/>
    <w:multiLevelType w:val="multilevel"/>
    <w:tmpl w:val="1A0A48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08D2185"/>
    <w:multiLevelType w:val="multilevel"/>
    <w:tmpl w:val="29E82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202B20"/>
    <w:multiLevelType w:val="multilevel"/>
    <w:tmpl w:val="3AC02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41106"/>
    <w:multiLevelType w:val="multilevel"/>
    <w:tmpl w:val="950C7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8150E9"/>
    <w:multiLevelType w:val="hybridMultilevel"/>
    <w:tmpl w:val="04D8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77E0E"/>
    <w:multiLevelType w:val="multilevel"/>
    <w:tmpl w:val="717AC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571D46"/>
    <w:multiLevelType w:val="multilevel"/>
    <w:tmpl w:val="9BA0E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A6423"/>
    <w:multiLevelType w:val="hybridMultilevel"/>
    <w:tmpl w:val="58366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0C3AC3"/>
    <w:multiLevelType w:val="hybridMultilevel"/>
    <w:tmpl w:val="F922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D6C9C"/>
    <w:multiLevelType w:val="multilevel"/>
    <w:tmpl w:val="EFECC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D0133"/>
    <w:multiLevelType w:val="multilevel"/>
    <w:tmpl w:val="5BBA4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B62090"/>
    <w:multiLevelType w:val="hybridMultilevel"/>
    <w:tmpl w:val="FB1E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0A1191"/>
    <w:multiLevelType w:val="hybridMultilevel"/>
    <w:tmpl w:val="1740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7688F"/>
    <w:multiLevelType w:val="hybridMultilevel"/>
    <w:tmpl w:val="05169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2951B1"/>
    <w:multiLevelType w:val="hybridMultilevel"/>
    <w:tmpl w:val="7542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5D481B"/>
    <w:multiLevelType w:val="hybridMultilevel"/>
    <w:tmpl w:val="B1F6C0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F9915C0"/>
    <w:multiLevelType w:val="multilevel"/>
    <w:tmpl w:val="3C40B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B57BF9"/>
    <w:multiLevelType w:val="hybridMultilevel"/>
    <w:tmpl w:val="88C69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B108B"/>
    <w:multiLevelType w:val="hybridMultilevel"/>
    <w:tmpl w:val="57DE57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8F51F77"/>
    <w:multiLevelType w:val="multilevel"/>
    <w:tmpl w:val="9580F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0A5EB5"/>
    <w:multiLevelType w:val="hybridMultilevel"/>
    <w:tmpl w:val="25208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465F3"/>
    <w:multiLevelType w:val="hybridMultilevel"/>
    <w:tmpl w:val="BA8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A44093"/>
    <w:multiLevelType w:val="hybridMultilevel"/>
    <w:tmpl w:val="00808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0568171">
    <w:abstractNumId w:val="19"/>
  </w:num>
  <w:num w:numId="2" w16cid:durableId="427041529">
    <w:abstractNumId w:val="2"/>
  </w:num>
  <w:num w:numId="3" w16cid:durableId="44793420">
    <w:abstractNumId w:val="18"/>
  </w:num>
  <w:num w:numId="4" w16cid:durableId="21195227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4316373">
    <w:abstractNumId w:val="22"/>
  </w:num>
  <w:num w:numId="6" w16cid:durableId="988248570">
    <w:abstractNumId w:val="15"/>
  </w:num>
  <w:num w:numId="7" w16cid:durableId="1925527161">
    <w:abstractNumId w:val="11"/>
  </w:num>
  <w:num w:numId="8" w16cid:durableId="523442602">
    <w:abstractNumId w:val="32"/>
  </w:num>
  <w:num w:numId="9" w16cid:durableId="1891259298">
    <w:abstractNumId w:val="3"/>
  </w:num>
  <w:num w:numId="10" w16cid:durableId="433207489">
    <w:abstractNumId w:val="4"/>
  </w:num>
  <w:num w:numId="11" w16cid:durableId="202134041">
    <w:abstractNumId w:val="29"/>
  </w:num>
  <w:num w:numId="12" w16cid:durableId="412819252">
    <w:abstractNumId w:val="14"/>
  </w:num>
  <w:num w:numId="13" w16cid:durableId="1951936983">
    <w:abstractNumId w:val="23"/>
  </w:num>
  <w:num w:numId="14" w16cid:durableId="914164730">
    <w:abstractNumId w:val="7"/>
  </w:num>
  <w:num w:numId="15" w16cid:durableId="501090638">
    <w:abstractNumId w:val="16"/>
  </w:num>
  <w:num w:numId="16" w16cid:durableId="626622341">
    <w:abstractNumId w:val="21"/>
  </w:num>
  <w:num w:numId="17" w16cid:durableId="1319922497">
    <w:abstractNumId w:val="5"/>
  </w:num>
  <w:num w:numId="18" w16cid:durableId="44066595">
    <w:abstractNumId w:val="9"/>
  </w:num>
  <w:num w:numId="19" w16cid:durableId="6946939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2936344">
    <w:abstractNumId w:val="33"/>
  </w:num>
  <w:num w:numId="21" w16cid:durableId="565577382">
    <w:abstractNumId w:val="6"/>
  </w:num>
  <w:num w:numId="22" w16cid:durableId="302199107">
    <w:abstractNumId w:val="20"/>
  </w:num>
  <w:num w:numId="23" w16cid:durableId="935866225">
    <w:abstractNumId w:val="30"/>
  </w:num>
  <w:num w:numId="24" w16cid:durableId="1841776599">
    <w:abstractNumId w:val="34"/>
  </w:num>
  <w:num w:numId="25" w16cid:durableId="1488014595">
    <w:abstractNumId w:val="17"/>
  </w:num>
  <w:num w:numId="26" w16cid:durableId="1550729712">
    <w:abstractNumId w:val="12"/>
  </w:num>
  <w:num w:numId="27" w16cid:durableId="156190090">
    <w:abstractNumId w:val="26"/>
  </w:num>
  <w:num w:numId="28" w16cid:durableId="229115532">
    <w:abstractNumId w:val="27"/>
  </w:num>
  <w:num w:numId="29" w16cid:durableId="437339529">
    <w:abstractNumId w:val="25"/>
  </w:num>
  <w:num w:numId="30" w16cid:durableId="406535745">
    <w:abstractNumId w:val="24"/>
  </w:num>
  <w:num w:numId="31" w16cid:durableId="184829159">
    <w:abstractNumId w:val="1"/>
  </w:num>
  <w:num w:numId="32" w16cid:durableId="882860889">
    <w:abstractNumId w:val="0"/>
  </w:num>
  <w:num w:numId="33" w16cid:durableId="310983541">
    <w:abstractNumId w:val="10"/>
  </w:num>
  <w:num w:numId="34" w16cid:durableId="2764966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89933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763095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EB"/>
    <w:rsid w:val="00015705"/>
    <w:rsid w:val="00023230"/>
    <w:rsid w:val="00035215"/>
    <w:rsid w:val="0006393D"/>
    <w:rsid w:val="000954F8"/>
    <w:rsid w:val="000D13A1"/>
    <w:rsid w:val="00100604"/>
    <w:rsid w:val="00115C26"/>
    <w:rsid w:val="0012072C"/>
    <w:rsid w:val="00124564"/>
    <w:rsid w:val="00124DB2"/>
    <w:rsid w:val="00140024"/>
    <w:rsid w:val="00156E34"/>
    <w:rsid w:val="00173F9B"/>
    <w:rsid w:val="001765C8"/>
    <w:rsid w:val="00183948"/>
    <w:rsid w:val="00184152"/>
    <w:rsid w:val="00191BB3"/>
    <w:rsid w:val="001B5852"/>
    <w:rsid w:val="001D7570"/>
    <w:rsid w:val="001F1F81"/>
    <w:rsid w:val="001F5799"/>
    <w:rsid w:val="00200A19"/>
    <w:rsid w:val="00203FB2"/>
    <w:rsid w:val="00206AA0"/>
    <w:rsid w:val="002133BD"/>
    <w:rsid w:val="00214CAA"/>
    <w:rsid w:val="00231E07"/>
    <w:rsid w:val="00234504"/>
    <w:rsid w:val="0023551F"/>
    <w:rsid w:val="00261FC1"/>
    <w:rsid w:val="00276616"/>
    <w:rsid w:val="00285D3C"/>
    <w:rsid w:val="00295547"/>
    <w:rsid w:val="002C1BD6"/>
    <w:rsid w:val="002D2BE4"/>
    <w:rsid w:val="00302CDB"/>
    <w:rsid w:val="0031448D"/>
    <w:rsid w:val="0031775D"/>
    <w:rsid w:val="003359EB"/>
    <w:rsid w:val="00340516"/>
    <w:rsid w:val="003453F5"/>
    <w:rsid w:val="003648A3"/>
    <w:rsid w:val="00365EB8"/>
    <w:rsid w:val="00383C04"/>
    <w:rsid w:val="003B3EDB"/>
    <w:rsid w:val="003D1AF6"/>
    <w:rsid w:val="003E0C5E"/>
    <w:rsid w:val="003F1336"/>
    <w:rsid w:val="004031F2"/>
    <w:rsid w:val="00424155"/>
    <w:rsid w:val="00427276"/>
    <w:rsid w:val="004362E2"/>
    <w:rsid w:val="00442C14"/>
    <w:rsid w:val="004559B7"/>
    <w:rsid w:val="00477B70"/>
    <w:rsid w:val="00481FB0"/>
    <w:rsid w:val="0049658E"/>
    <w:rsid w:val="00496790"/>
    <w:rsid w:val="004B1A6B"/>
    <w:rsid w:val="004B710B"/>
    <w:rsid w:val="004C7643"/>
    <w:rsid w:val="004F1A90"/>
    <w:rsid w:val="00503E41"/>
    <w:rsid w:val="00512B95"/>
    <w:rsid w:val="00514C42"/>
    <w:rsid w:val="00533123"/>
    <w:rsid w:val="005436F2"/>
    <w:rsid w:val="005608E5"/>
    <w:rsid w:val="005653EA"/>
    <w:rsid w:val="005723D8"/>
    <w:rsid w:val="005838E3"/>
    <w:rsid w:val="005B711D"/>
    <w:rsid w:val="005C40B7"/>
    <w:rsid w:val="005D0275"/>
    <w:rsid w:val="005D0A2D"/>
    <w:rsid w:val="005F0B33"/>
    <w:rsid w:val="005F4ADA"/>
    <w:rsid w:val="005F732C"/>
    <w:rsid w:val="00603A5C"/>
    <w:rsid w:val="006230A1"/>
    <w:rsid w:val="0063619F"/>
    <w:rsid w:val="006437B7"/>
    <w:rsid w:val="006538D5"/>
    <w:rsid w:val="00694059"/>
    <w:rsid w:val="0069659F"/>
    <w:rsid w:val="006A4B02"/>
    <w:rsid w:val="006A5B39"/>
    <w:rsid w:val="006B27CB"/>
    <w:rsid w:val="006B53DD"/>
    <w:rsid w:val="006B7D7B"/>
    <w:rsid w:val="006C18B9"/>
    <w:rsid w:val="006F061F"/>
    <w:rsid w:val="006F71D2"/>
    <w:rsid w:val="00715A41"/>
    <w:rsid w:val="00720B1F"/>
    <w:rsid w:val="00721B8B"/>
    <w:rsid w:val="00736754"/>
    <w:rsid w:val="0076019F"/>
    <w:rsid w:val="00761E70"/>
    <w:rsid w:val="00772044"/>
    <w:rsid w:val="007802E6"/>
    <w:rsid w:val="00797EE0"/>
    <w:rsid w:val="007D53B1"/>
    <w:rsid w:val="007E34C2"/>
    <w:rsid w:val="007E58E2"/>
    <w:rsid w:val="007F1D15"/>
    <w:rsid w:val="007F6628"/>
    <w:rsid w:val="00802D3D"/>
    <w:rsid w:val="008168B6"/>
    <w:rsid w:val="00827ABB"/>
    <w:rsid w:val="00832D1F"/>
    <w:rsid w:val="00837AC9"/>
    <w:rsid w:val="008E0EEB"/>
    <w:rsid w:val="008E53C0"/>
    <w:rsid w:val="00937DE1"/>
    <w:rsid w:val="00940121"/>
    <w:rsid w:val="00947841"/>
    <w:rsid w:val="009658C4"/>
    <w:rsid w:val="009712DF"/>
    <w:rsid w:val="00972E74"/>
    <w:rsid w:val="00976EB0"/>
    <w:rsid w:val="0098069D"/>
    <w:rsid w:val="009C4D1D"/>
    <w:rsid w:val="009F5076"/>
    <w:rsid w:val="00A069BA"/>
    <w:rsid w:val="00A112AB"/>
    <w:rsid w:val="00A21E9B"/>
    <w:rsid w:val="00A40512"/>
    <w:rsid w:val="00A55CDD"/>
    <w:rsid w:val="00A62253"/>
    <w:rsid w:val="00A873FC"/>
    <w:rsid w:val="00A912AD"/>
    <w:rsid w:val="00AA4B40"/>
    <w:rsid w:val="00AB5852"/>
    <w:rsid w:val="00AF3E04"/>
    <w:rsid w:val="00B0747B"/>
    <w:rsid w:val="00B20623"/>
    <w:rsid w:val="00B24539"/>
    <w:rsid w:val="00B24CAD"/>
    <w:rsid w:val="00B32B01"/>
    <w:rsid w:val="00B36387"/>
    <w:rsid w:val="00B36734"/>
    <w:rsid w:val="00B40879"/>
    <w:rsid w:val="00B56AE5"/>
    <w:rsid w:val="00B70B70"/>
    <w:rsid w:val="00B71F33"/>
    <w:rsid w:val="00B7410C"/>
    <w:rsid w:val="00B83C3C"/>
    <w:rsid w:val="00B83F83"/>
    <w:rsid w:val="00B916F7"/>
    <w:rsid w:val="00BA52EC"/>
    <w:rsid w:val="00BC1D9F"/>
    <w:rsid w:val="00BD0803"/>
    <w:rsid w:val="00BD4027"/>
    <w:rsid w:val="00BD4309"/>
    <w:rsid w:val="00BE0B92"/>
    <w:rsid w:val="00C025C4"/>
    <w:rsid w:val="00C2099E"/>
    <w:rsid w:val="00C240D9"/>
    <w:rsid w:val="00C27A6B"/>
    <w:rsid w:val="00C331AF"/>
    <w:rsid w:val="00C433F0"/>
    <w:rsid w:val="00C476A6"/>
    <w:rsid w:val="00C4797A"/>
    <w:rsid w:val="00C50D6E"/>
    <w:rsid w:val="00C512A6"/>
    <w:rsid w:val="00C538B7"/>
    <w:rsid w:val="00C71673"/>
    <w:rsid w:val="00C74A21"/>
    <w:rsid w:val="00C85A00"/>
    <w:rsid w:val="00C93B82"/>
    <w:rsid w:val="00C95A1B"/>
    <w:rsid w:val="00CC760E"/>
    <w:rsid w:val="00CD5DBB"/>
    <w:rsid w:val="00CD6A06"/>
    <w:rsid w:val="00CE4CF1"/>
    <w:rsid w:val="00D07E97"/>
    <w:rsid w:val="00D136FB"/>
    <w:rsid w:val="00D31CAC"/>
    <w:rsid w:val="00D3462D"/>
    <w:rsid w:val="00D50951"/>
    <w:rsid w:val="00D645D3"/>
    <w:rsid w:val="00D649BB"/>
    <w:rsid w:val="00D769FE"/>
    <w:rsid w:val="00D8055B"/>
    <w:rsid w:val="00D81230"/>
    <w:rsid w:val="00DA7574"/>
    <w:rsid w:val="00DB21E6"/>
    <w:rsid w:val="00DC0703"/>
    <w:rsid w:val="00DD021B"/>
    <w:rsid w:val="00DD3F88"/>
    <w:rsid w:val="00DF4133"/>
    <w:rsid w:val="00E0000D"/>
    <w:rsid w:val="00E17C69"/>
    <w:rsid w:val="00E346BC"/>
    <w:rsid w:val="00E3473F"/>
    <w:rsid w:val="00E421DF"/>
    <w:rsid w:val="00E461E8"/>
    <w:rsid w:val="00E61C06"/>
    <w:rsid w:val="00E65020"/>
    <w:rsid w:val="00E80B47"/>
    <w:rsid w:val="00E93ADD"/>
    <w:rsid w:val="00E97ECF"/>
    <w:rsid w:val="00EA74B0"/>
    <w:rsid w:val="00EB6F16"/>
    <w:rsid w:val="00ED4586"/>
    <w:rsid w:val="00EE0621"/>
    <w:rsid w:val="00EE5230"/>
    <w:rsid w:val="00EE75C2"/>
    <w:rsid w:val="00F22464"/>
    <w:rsid w:val="00F53255"/>
    <w:rsid w:val="00F557A8"/>
    <w:rsid w:val="00F56885"/>
    <w:rsid w:val="00F71848"/>
    <w:rsid w:val="00F76372"/>
    <w:rsid w:val="00F81E12"/>
    <w:rsid w:val="00F822D7"/>
    <w:rsid w:val="00F854EC"/>
    <w:rsid w:val="00FA76DB"/>
    <w:rsid w:val="00FB0879"/>
    <w:rsid w:val="00FC6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0C8E1"/>
  <w15:chartTrackingRefBased/>
  <w15:docId w15:val="{744E3F48-1589-4E87-A653-9583238C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9EB"/>
    <w:pPr>
      <w:spacing w:after="0" w:line="240" w:lineRule="auto"/>
    </w:pPr>
    <w:rPr>
      <w:rFonts w:ascii="Calibri" w:hAnsi="Calibri" w:cs="Calibri"/>
      <w:lang w:eastAsia="en-GB"/>
    </w:rPr>
  </w:style>
  <w:style w:type="paragraph" w:styleId="Heading1">
    <w:name w:val="heading 1"/>
    <w:basedOn w:val="Normal"/>
    <w:link w:val="Heading1Char"/>
    <w:uiPriority w:val="9"/>
    <w:qFormat/>
    <w:rsid w:val="003359E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rsid w:val="003359EB"/>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3359EB"/>
    <w:pPr>
      <w:spacing w:before="100" w:beforeAutospacing="1" w:after="100" w:afterAutospacing="1"/>
      <w:outlineLvl w:val="2"/>
    </w:pPr>
    <w:rPr>
      <w:b/>
      <w:bCs/>
      <w:sz w:val="27"/>
      <w:szCs w:val="27"/>
    </w:rPr>
  </w:style>
  <w:style w:type="paragraph" w:styleId="Heading4">
    <w:name w:val="heading 4"/>
    <w:basedOn w:val="Normal"/>
    <w:link w:val="Heading4Char"/>
    <w:uiPriority w:val="9"/>
    <w:unhideWhenUsed/>
    <w:qFormat/>
    <w:rsid w:val="003359EB"/>
    <w:pPr>
      <w:spacing w:before="100" w:beforeAutospacing="1" w:after="100" w:afterAutospacing="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59EB"/>
    <w:rPr>
      <w:rFonts w:ascii="Calibri" w:hAnsi="Calibri" w:cs="Calibri"/>
      <w:b/>
      <w:bCs/>
      <w:kern w:val="36"/>
      <w:sz w:val="48"/>
      <w:szCs w:val="48"/>
      <w:lang w:eastAsia="en-GB"/>
    </w:rPr>
  </w:style>
  <w:style w:type="character" w:customStyle="1" w:styleId="Heading2Char">
    <w:name w:val="Heading 2 Char"/>
    <w:basedOn w:val="DefaultParagraphFont"/>
    <w:link w:val="Heading2"/>
    <w:uiPriority w:val="9"/>
    <w:semiHidden/>
    <w:rsid w:val="003359EB"/>
    <w:rPr>
      <w:rFonts w:ascii="Calibri" w:hAnsi="Calibri" w:cs="Calibri"/>
      <w:b/>
      <w:bCs/>
      <w:sz w:val="36"/>
      <w:szCs w:val="36"/>
      <w:lang w:eastAsia="en-GB"/>
    </w:rPr>
  </w:style>
  <w:style w:type="character" w:customStyle="1" w:styleId="Heading3Char">
    <w:name w:val="Heading 3 Char"/>
    <w:basedOn w:val="DefaultParagraphFont"/>
    <w:link w:val="Heading3"/>
    <w:uiPriority w:val="9"/>
    <w:semiHidden/>
    <w:rsid w:val="003359EB"/>
    <w:rPr>
      <w:rFonts w:ascii="Calibri" w:hAnsi="Calibri" w:cs="Calibri"/>
      <w:b/>
      <w:bCs/>
      <w:sz w:val="27"/>
      <w:szCs w:val="27"/>
      <w:lang w:eastAsia="en-GB"/>
    </w:rPr>
  </w:style>
  <w:style w:type="character" w:customStyle="1" w:styleId="Heading4Char">
    <w:name w:val="Heading 4 Char"/>
    <w:basedOn w:val="DefaultParagraphFont"/>
    <w:link w:val="Heading4"/>
    <w:uiPriority w:val="9"/>
    <w:rsid w:val="003359EB"/>
    <w:rPr>
      <w:rFonts w:ascii="Calibri" w:hAnsi="Calibri" w:cs="Calibri"/>
      <w:b/>
      <w:bCs/>
      <w:sz w:val="24"/>
      <w:szCs w:val="24"/>
      <w:lang w:eastAsia="en-GB"/>
    </w:rPr>
  </w:style>
  <w:style w:type="character" w:styleId="Hyperlink">
    <w:name w:val="Hyperlink"/>
    <w:basedOn w:val="DefaultParagraphFont"/>
    <w:uiPriority w:val="99"/>
    <w:unhideWhenUsed/>
    <w:rsid w:val="003359EB"/>
    <w:rPr>
      <w:color w:val="0000FF"/>
      <w:u w:val="single"/>
    </w:rPr>
  </w:style>
  <w:style w:type="character" w:styleId="FollowedHyperlink">
    <w:name w:val="FollowedHyperlink"/>
    <w:basedOn w:val="DefaultParagraphFont"/>
    <w:uiPriority w:val="99"/>
    <w:semiHidden/>
    <w:unhideWhenUsed/>
    <w:rsid w:val="003359EB"/>
    <w:rPr>
      <w:color w:val="800080"/>
      <w:u w:val="single"/>
    </w:rPr>
  </w:style>
  <w:style w:type="paragraph" w:styleId="NormalWeb">
    <w:name w:val="Normal (Web)"/>
    <w:basedOn w:val="Normal"/>
    <w:uiPriority w:val="99"/>
    <w:unhideWhenUsed/>
    <w:rsid w:val="003359EB"/>
    <w:pPr>
      <w:spacing w:before="100" w:beforeAutospacing="1" w:after="100" w:afterAutospacing="1"/>
    </w:pPr>
  </w:style>
  <w:style w:type="paragraph" w:customStyle="1" w:styleId="ydpc5b00a67card-description">
    <w:name w:val="ydpc5b00a67card-description"/>
    <w:basedOn w:val="Normal"/>
    <w:uiPriority w:val="99"/>
    <w:semiHidden/>
    <w:rsid w:val="003359EB"/>
    <w:pPr>
      <w:spacing w:before="100" w:beforeAutospacing="1" w:after="100" w:afterAutospacing="1"/>
    </w:pPr>
  </w:style>
  <w:style w:type="character" w:customStyle="1" w:styleId="ydpf7abc430indicator">
    <w:name w:val="ydpf7abc430indicator"/>
    <w:basedOn w:val="DefaultParagraphFont"/>
    <w:rsid w:val="003359EB"/>
  </w:style>
  <w:style w:type="character" w:customStyle="1" w:styleId="ydp541bd40dindicator">
    <w:name w:val="ydp541bd40dindicator"/>
    <w:basedOn w:val="DefaultParagraphFont"/>
    <w:rsid w:val="003359EB"/>
  </w:style>
  <w:style w:type="character" w:customStyle="1" w:styleId="ydpc0124b6aindicator">
    <w:name w:val="ydpc0124b6aindicator"/>
    <w:basedOn w:val="DefaultParagraphFont"/>
    <w:rsid w:val="003359EB"/>
  </w:style>
  <w:style w:type="character" w:customStyle="1" w:styleId="ydpda03653aindicator">
    <w:name w:val="ydpda03653aindicator"/>
    <w:basedOn w:val="DefaultParagraphFont"/>
    <w:rsid w:val="003359EB"/>
  </w:style>
  <w:style w:type="character" w:customStyle="1" w:styleId="ydp32505be0indicator">
    <w:name w:val="ydp32505be0indicator"/>
    <w:basedOn w:val="DefaultParagraphFont"/>
    <w:rsid w:val="003359EB"/>
  </w:style>
  <w:style w:type="character" w:customStyle="1" w:styleId="ydp7e04b5b3indicator">
    <w:name w:val="ydp7e04b5b3indicator"/>
    <w:basedOn w:val="DefaultParagraphFont"/>
    <w:rsid w:val="003359EB"/>
  </w:style>
  <w:style w:type="character" w:customStyle="1" w:styleId="ydpee852835indicator">
    <w:name w:val="ydpee852835indicator"/>
    <w:basedOn w:val="DefaultParagraphFont"/>
    <w:rsid w:val="003359EB"/>
  </w:style>
  <w:style w:type="character" w:customStyle="1" w:styleId="ydpb5131bffindicator">
    <w:name w:val="ydpb5131bffindicator"/>
    <w:basedOn w:val="DefaultParagraphFont"/>
    <w:rsid w:val="003359EB"/>
  </w:style>
  <w:style w:type="character" w:styleId="Emphasis">
    <w:name w:val="Emphasis"/>
    <w:basedOn w:val="DefaultParagraphFont"/>
    <w:uiPriority w:val="20"/>
    <w:qFormat/>
    <w:rsid w:val="003359EB"/>
    <w:rPr>
      <w:i/>
      <w:iCs/>
    </w:rPr>
  </w:style>
  <w:style w:type="paragraph" w:styleId="Header">
    <w:name w:val="header"/>
    <w:basedOn w:val="Normal"/>
    <w:link w:val="HeaderChar"/>
    <w:uiPriority w:val="99"/>
    <w:unhideWhenUsed/>
    <w:rsid w:val="004B1A6B"/>
    <w:pPr>
      <w:tabs>
        <w:tab w:val="center" w:pos="4513"/>
        <w:tab w:val="right" w:pos="9026"/>
      </w:tabs>
    </w:pPr>
  </w:style>
  <w:style w:type="character" w:customStyle="1" w:styleId="HeaderChar">
    <w:name w:val="Header Char"/>
    <w:basedOn w:val="DefaultParagraphFont"/>
    <w:link w:val="Header"/>
    <w:uiPriority w:val="99"/>
    <w:rsid w:val="004B1A6B"/>
    <w:rPr>
      <w:rFonts w:ascii="Calibri" w:hAnsi="Calibri" w:cs="Calibri"/>
      <w:lang w:eastAsia="en-GB"/>
    </w:rPr>
  </w:style>
  <w:style w:type="paragraph" w:styleId="Footer">
    <w:name w:val="footer"/>
    <w:basedOn w:val="Normal"/>
    <w:link w:val="FooterChar"/>
    <w:uiPriority w:val="99"/>
    <w:unhideWhenUsed/>
    <w:rsid w:val="004B1A6B"/>
    <w:pPr>
      <w:tabs>
        <w:tab w:val="center" w:pos="4513"/>
        <w:tab w:val="right" w:pos="9026"/>
      </w:tabs>
    </w:pPr>
  </w:style>
  <w:style w:type="character" w:customStyle="1" w:styleId="FooterChar">
    <w:name w:val="Footer Char"/>
    <w:basedOn w:val="DefaultParagraphFont"/>
    <w:link w:val="Footer"/>
    <w:uiPriority w:val="99"/>
    <w:rsid w:val="004B1A6B"/>
    <w:rPr>
      <w:rFonts w:ascii="Calibri" w:hAnsi="Calibri" w:cs="Calibri"/>
      <w:lang w:eastAsia="en-GB"/>
    </w:rPr>
  </w:style>
  <w:style w:type="paragraph" w:styleId="BalloonText">
    <w:name w:val="Balloon Text"/>
    <w:basedOn w:val="Normal"/>
    <w:link w:val="BalloonTextChar"/>
    <w:uiPriority w:val="99"/>
    <w:semiHidden/>
    <w:unhideWhenUsed/>
    <w:rsid w:val="00A21E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E9B"/>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F76372"/>
    <w:rPr>
      <w:color w:val="605E5C"/>
      <w:shd w:val="clear" w:color="auto" w:fill="E1DFDD"/>
    </w:rPr>
  </w:style>
  <w:style w:type="paragraph" w:styleId="FootnoteText">
    <w:name w:val="footnote text"/>
    <w:basedOn w:val="Normal"/>
    <w:link w:val="FootnoteTextChar"/>
    <w:uiPriority w:val="99"/>
    <w:semiHidden/>
    <w:unhideWhenUsed/>
    <w:rsid w:val="001B5852"/>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B5852"/>
    <w:rPr>
      <w:sz w:val="20"/>
      <w:szCs w:val="20"/>
    </w:rPr>
  </w:style>
  <w:style w:type="character" w:styleId="FootnoteReference">
    <w:name w:val="footnote reference"/>
    <w:basedOn w:val="DefaultParagraphFont"/>
    <w:uiPriority w:val="99"/>
    <w:semiHidden/>
    <w:unhideWhenUsed/>
    <w:rsid w:val="001B5852"/>
    <w:rPr>
      <w:vertAlign w:val="superscript"/>
    </w:rPr>
  </w:style>
  <w:style w:type="table" w:customStyle="1" w:styleId="TableGrid4">
    <w:name w:val="Table Grid4"/>
    <w:basedOn w:val="TableNormal"/>
    <w:next w:val="TableGrid"/>
    <w:uiPriority w:val="39"/>
    <w:rsid w:val="008E5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E5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623"/>
    <w:pPr>
      <w:spacing w:after="160" w:line="259" w:lineRule="auto"/>
      <w:ind w:left="720"/>
      <w:contextualSpacing/>
    </w:pPr>
    <w:rPr>
      <w:rFonts w:asciiTheme="minorHAnsi" w:hAnsiTheme="minorHAnsi" w:cstheme="minorBidi"/>
      <w:lang w:eastAsia="en-US"/>
    </w:rPr>
  </w:style>
  <w:style w:type="paragraph" w:styleId="CommentText">
    <w:name w:val="annotation text"/>
    <w:basedOn w:val="Normal"/>
    <w:link w:val="CommentTextChar"/>
    <w:uiPriority w:val="99"/>
    <w:unhideWhenUsed/>
    <w:rsid w:val="00B20623"/>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20623"/>
    <w:rPr>
      <w:sz w:val="20"/>
      <w:szCs w:val="20"/>
    </w:rPr>
  </w:style>
  <w:style w:type="paragraph" w:customStyle="1" w:styleId="xmsonormal">
    <w:name w:val="x_msonormal"/>
    <w:basedOn w:val="Normal"/>
    <w:rsid w:val="00B20623"/>
    <w:pPr>
      <w:spacing w:before="240" w:after="180" w:line="300" w:lineRule="atLeast"/>
    </w:pPr>
    <w:rPr>
      <w:rFonts w:ascii="Times New Roman" w:eastAsia="Times New Roman" w:hAnsi="Times New Roman" w:cs="Times New Roman"/>
      <w:sz w:val="23"/>
      <w:szCs w:val="23"/>
    </w:rPr>
  </w:style>
  <w:style w:type="table" w:styleId="TableGridLight">
    <w:name w:val="Grid Table Light"/>
    <w:basedOn w:val="TableNormal"/>
    <w:uiPriority w:val="40"/>
    <w:rsid w:val="00C4797A"/>
    <w:pPr>
      <w:spacing w:after="0" w:line="240" w:lineRule="auto"/>
    </w:pPr>
    <w:rPr>
      <w:rFonts w:ascii="Calibri" w:eastAsia="Calibri" w:hAnsi="Calibri" w:cs="Calibri"/>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EB6F16"/>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EB6F16"/>
    <w:pPr>
      <w:spacing w:after="100"/>
    </w:pPr>
  </w:style>
  <w:style w:type="paragraph" w:styleId="TOC3">
    <w:name w:val="toc 3"/>
    <w:basedOn w:val="Normal"/>
    <w:next w:val="Normal"/>
    <w:autoRedefine/>
    <w:uiPriority w:val="39"/>
    <w:unhideWhenUsed/>
    <w:rsid w:val="00EB6F16"/>
    <w:pPr>
      <w:spacing w:after="100"/>
      <w:ind w:left="440"/>
    </w:pPr>
  </w:style>
  <w:style w:type="paragraph" w:customStyle="1" w:styleId="Style1">
    <w:name w:val="Style1"/>
    <w:basedOn w:val="Heading3"/>
    <w:link w:val="Style1Char"/>
    <w:qFormat/>
    <w:rsid w:val="00EB6F16"/>
    <w:pPr>
      <w:spacing w:before="0" w:beforeAutospacing="0" w:after="0" w:afterAutospacing="0"/>
    </w:pPr>
    <w:rPr>
      <w:rFonts w:asciiTheme="minorHAnsi" w:eastAsia="Times New Roman" w:hAnsiTheme="minorHAnsi" w:cstheme="minorHAnsi"/>
      <w:bCs w:val="0"/>
      <w:color w:val="002060"/>
      <w:sz w:val="24"/>
      <w:szCs w:val="24"/>
    </w:rPr>
  </w:style>
  <w:style w:type="table" w:styleId="GridTable1Light-Accent1">
    <w:name w:val="Grid Table 1 Light Accent 1"/>
    <w:basedOn w:val="TableNormal"/>
    <w:uiPriority w:val="46"/>
    <w:rsid w:val="006F061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Style1Char">
    <w:name w:val="Style1 Char"/>
    <w:basedOn w:val="Heading3Char"/>
    <w:link w:val="Style1"/>
    <w:rsid w:val="00EB6F16"/>
    <w:rPr>
      <w:rFonts w:ascii="Calibri" w:eastAsia="Times New Roman" w:hAnsi="Calibri" w:cstheme="minorHAnsi"/>
      <w:b/>
      <w:bCs w:val="0"/>
      <w:color w:val="002060"/>
      <w:sz w:val="24"/>
      <w:szCs w:val="24"/>
      <w:lang w:eastAsia="en-GB"/>
    </w:rPr>
  </w:style>
  <w:style w:type="table" w:styleId="GridTable5Dark-Accent1">
    <w:name w:val="Grid Table 5 Dark Accent 1"/>
    <w:basedOn w:val="TableNormal"/>
    <w:uiPriority w:val="50"/>
    <w:rsid w:val="006F06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6F061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6F061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1027">
      <w:bodyDiv w:val="1"/>
      <w:marLeft w:val="0"/>
      <w:marRight w:val="0"/>
      <w:marTop w:val="0"/>
      <w:marBottom w:val="0"/>
      <w:divBdr>
        <w:top w:val="none" w:sz="0" w:space="0" w:color="auto"/>
        <w:left w:val="none" w:sz="0" w:space="0" w:color="auto"/>
        <w:bottom w:val="none" w:sz="0" w:space="0" w:color="auto"/>
        <w:right w:val="none" w:sz="0" w:space="0" w:color="auto"/>
      </w:divBdr>
    </w:div>
    <w:div w:id="116916811">
      <w:bodyDiv w:val="1"/>
      <w:marLeft w:val="0"/>
      <w:marRight w:val="0"/>
      <w:marTop w:val="0"/>
      <w:marBottom w:val="0"/>
      <w:divBdr>
        <w:top w:val="none" w:sz="0" w:space="0" w:color="auto"/>
        <w:left w:val="none" w:sz="0" w:space="0" w:color="auto"/>
        <w:bottom w:val="none" w:sz="0" w:space="0" w:color="auto"/>
        <w:right w:val="none" w:sz="0" w:space="0" w:color="auto"/>
      </w:divBdr>
    </w:div>
    <w:div w:id="177812826">
      <w:bodyDiv w:val="1"/>
      <w:marLeft w:val="0"/>
      <w:marRight w:val="0"/>
      <w:marTop w:val="0"/>
      <w:marBottom w:val="0"/>
      <w:divBdr>
        <w:top w:val="none" w:sz="0" w:space="0" w:color="auto"/>
        <w:left w:val="none" w:sz="0" w:space="0" w:color="auto"/>
        <w:bottom w:val="none" w:sz="0" w:space="0" w:color="auto"/>
        <w:right w:val="none" w:sz="0" w:space="0" w:color="auto"/>
      </w:divBdr>
    </w:div>
    <w:div w:id="261643616">
      <w:bodyDiv w:val="1"/>
      <w:marLeft w:val="0"/>
      <w:marRight w:val="0"/>
      <w:marTop w:val="0"/>
      <w:marBottom w:val="0"/>
      <w:divBdr>
        <w:top w:val="none" w:sz="0" w:space="0" w:color="auto"/>
        <w:left w:val="none" w:sz="0" w:space="0" w:color="auto"/>
        <w:bottom w:val="none" w:sz="0" w:space="0" w:color="auto"/>
        <w:right w:val="none" w:sz="0" w:space="0" w:color="auto"/>
      </w:divBdr>
    </w:div>
    <w:div w:id="369182431">
      <w:bodyDiv w:val="1"/>
      <w:marLeft w:val="0"/>
      <w:marRight w:val="0"/>
      <w:marTop w:val="0"/>
      <w:marBottom w:val="0"/>
      <w:divBdr>
        <w:top w:val="none" w:sz="0" w:space="0" w:color="auto"/>
        <w:left w:val="none" w:sz="0" w:space="0" w:color="auto"/>
        <w:bottom w:val="none" w:sz="0" w:space="0" w:color="auto"/>
        <w:right w:val="none" w:sz="0" w:space="0" w:color="auto"/>
      </w:divBdr>
      <w:divsChild>
        <w:div w:id="1374841462">
          <w:marLeft w:val="0"/>
          <w:marRight w:val="0"/>
          <w:marTop w:val="0"/>
          <w:marBottom w:val="0"/>
          <w:divBdr>
            <w:top w:val="none" w:sz="0" w:space="0" w:color="auto"/>
            <w:left w:val="none" w:sz="0" w:space="0" w:color="auto"/>
            <w:bottom w:val="none" w:sz="0" w:space="0" w:color="auto"/>
            <w:right w:val="none" w:sz="0" w:space="0" w:color="auto"/>
          </w:divBdr>
        </w:div>
        <w:div w:id="1962958855">
          <w:marLeft w:val="0"/>
          <w:marRight w:val="0"/>
          <w:marTop w:val="0"/>
          <w:marBottom w:val="0"/>
          <w:divBdr>
            <w:top w:val="none" w:sz="0" w:space="0" w:color="auto"/>
            <w:left w:val="none" w:sz="0" w:space="0" w:color="auto"/>
            <w:bottom w:val="none" w:sz="0" w:space="0" w:color="auto"/>
            <w:right w:val="none" w:sz="0" w:space="0" w:color="auto"/>
          </w:divBdr>
          <w:divsChild>
            <w:div w:id="462625787">
              <w:marLeft w:val="0"/>
              <w:marRight w:val="0"/>
              <w:marTop w:val="0"/>
              <w:marBottom w:val="0"/>
              <w:divBdr>
                <w:top w:val="none" w:sz="0" w:space="0" w:color="auto"/>
                <w:left w:val="none" w:sz="0" w:space="0" w:color="auto"/>
                <w:bottom w:val="none" w:sz="0" w:space="0" w:color="auto"/>
                <w:right w:val="none" w:sz="0" w:space="0" w:color="auto"/>
              </w:divBdr>
              <w:divsChild>
                <w:div w:id="1992980883">
                  <w:marLeft w:val="0"/>
                  <w:marRight w:val="0"/>
                  <w:marTop w:val="0"/>
                  <w:marBottom w:val="408"/>
                  <w:divBdr>
                    <w:top w:val="none" w:sz="0" w:space="0" w:color="auto"/>
                    <w:left w:val="none" w:sz="0" w:space="0" w:color="auto"/>
                    <w:bottom w:val="none" w:sz="0" w:space="0" w:color="auto"/>
                    <w:right w:val="none" w:sz="0" w:space="0" w:color="auto"/>
                  </w:divBdr>
                  <w:divsChild>
                    <w:div w:id="1410276487">
                      <w:marLeft w:val="0"/>
                      <w:marRight w:val="0"/>
                      <w:marTop w:val="0"/>
                      <w:marBottom w:val="0"/>
                      <w:divBdr>
                        <w:top w:val="none" w:sz="0" w:space="0" w:color="auto"/>
                        <w:left w:val="none" w:sz="0" w:space="0" w:color="auto"/>
                        <w:bottom w:val="none" w:sz="0" w:space="0" w:color="auto"/>
                        <w:right w:val="none" w:sz="0" w:space="0" w:color="auto"/>
                      </w:divBdr>
                      <w:divsChild>
                        <w:div w:id="17309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365154">
      <w:bodyDiv w:val="1"/>
      <w:marLeft w:val="0"/>
      <w:marRight w:val="0"/>
      <w:marTop w:val="0"/>
      <w:marBottom w:val="0"/>
      <w:divBdr>
        <w:top w:val="none" w:sz="0" w:space="0" w:color="auto"/>
        <w:left w:val="none" w:sz="0" w:space="0" w:color="auto"/>
        <w:bottom w:val="none" w:sz="0" w:space="0" w:color="auto"/>
        <w:right w:val="none" w:sz="0" w:space="0" w:color="auto"/>
      </w:divBdr>
    </w:div>
    <w:div w:id="459224224">
      <w:bodyDiv w:val="1"/>
      <w:marLeft w:val="0"/>
      <w:marRight w:val="0"/>
      <w:marTop w:val="0"/>
      <w:marBottom w:val="0"/>
      <w:divBdr>
        <w:top w:val="none" w:sz="0" w:space="0" w:color="auto"/>
        <w:left w:val="none" w:sz="0" w:space="0" w:color="auto"/>
        <w:bottom w:val="none" w:sz="0" w:space="0" w:color="auto"/>
        <w:right w:val="none" w:sz="0" w:space="0" w:color="auto"/>
      </w:divBdr>
    </w:div>
    <w:div w:id="520095148">
      <w:bodyDiv w:val="1"/>
      <w:marLeft w:val="0"/>
      <w:marRight w:val="0"/>
      <w:marTop w:val="0"/>
      <w:marBottom w:val="0"/>
      <w:divBdr>
        <w:top w:val="none" w:sz="0" w:space="0" w:color="auto"/>
        <w:left w:val="none" w:sz="0" w:space="0" w:color="auto"/>
        <w:bottom w:val="none" w:sz="0" w:space="0" w:color="auto"/>
        <w:right w:val="none" w:sz="0" w:space="0" w:color="auto"/>
      </w:divBdr>
    </w:div>
    <w:div w:id="575286715">
      <w:bodyDiv w:val="1"/>
      <w:marLeft w:val="0"/>
      <w:marRight w:val="0"/>
      <w:marTop w:val="0"/>
      <w:marBottom w:val="0"/>
      <w:divBdr>
        <w:top w:val="none" w:sz="0" w:space="0" w:color="auto"/>
        <w:left w:val="none" w:sz="0" w:space="0" w:color="auto"/>
        <w:bottom w:val="none" w:sz="0" w:space="0" w:color="auto"/>
        <w:right w:val="none" w:sz="0" w:space="0" w:color="auto"/>
      </w:divBdr>
    </w:div>
    <w:div w:id="649216277">
      <w:bodyDiv w:val="1"/>
      <w:marLeft w:val="0"/>
      <w:marRight w:val="0"/>
      <w:marTop w:val="0"/>
      <w:marBottom w:val="0"/>
      <w:divBdr>
        <w:top w:val="none" w:sz="0" w:space="0" w:color="auto"/>
        <w:left w:val="none" w:sz="0" w:space="0" w:color="auto"/>
        <w:bottom w:val="none" w:sz="0" w:space="0" w:color="auto"/>
        <w:right w:val="none" w:sz="0" w:space="0" w:color="auto"/>
      </w:divBdr>
    </w:div>
    <w:div w:id="684136572">
      <w:bodyDiv w:val="1"/>
      <w:marLeft w:val="0"/>
      <w:marRight w:val="0"/>
      <w:marTop w:val="0"/>
      <w:marBottom w:val="0"/>
      <w:divBdr>
        <w:top w:val="none" w:sz="0" w:space="0" w:color="auto"/>
        <w:left w:val="none" w:sz="0" w:space="0" w:color="auto"/>
        <w:bottom w:val="none" w:sz="0" w:space="0" w:color="auto"/>
        <w:right w:val="none" w:sz="0" w:space="0" w:color="auto"/>
      </w:divBdr>
    </w:div>
    <w:div w:id="894660908">
      <w:bodyDiv w:val="1"/>
      <w:marLeft w:val="0"/>
      <w:marRight w:val="0"/>
      <w:marTop w:val="0"/>
      <w:marBottom w:val="0"/>
      <w:divBdr>
        <w:top w:val="none" w:sz="0" w:space="0" w:color="auto"/>
        <w:left w:val="none" w:sz="0" w:space="0" w:color="auto"/>
        <w:bottom w:val="none" w:sz="0" w:space="0" w:color="auto"/>
        <w:right w:val="none" w:sz="0" w:space="0" w:color="auto"/>
      </w:divBdr>
    </w:div>
    <w:div w:id="1137256591">
      <w:bodyDiv w:val="1"/>
      <w:marLeft w:val="0"/>
      <w:marRight w:val="0"/>
      <w:marTop w:val="0"/>
      <w:marBottom w:val="0"/>
      <w:divBdr>
        <w:top w:val="none" w:sz="0" w:space="0" w:color="auto"/>
        <w:left w:val="none" w:sz="0" w:space="0" w:color="auto"/>
        <w:bottom w:val="none" w:sz="0" w:space="0" w:color="auto"/>
        <w:right w:val="none" w:sz="0" w:space="0" w:color="auto"/>
      </w:divBdr>
    </w:div>
    <w:div w:id="1145658869">
      <w:bodyDiv w:val="1"/>
      <w:marLeft w:val="0"/>
      <w:marRight w:val="0"/>
      <w:marTop w:val="0"/>
      <w:marBottom w:val="0"/>
      <w:divBdr>
        <w:top w:val="none" w:sz="0" w:space="0" w:color="auto"/>
        <w:left w:val="none" w:sz="0" w:space="0" w:color="auto"/>
        <w:bottom w:val="none" w:sz="0" w:space="0" w:color="auto"/>
        <w:right w:val="none" w:sz="0" w:space="0" w:color="auto"/>
      </w:divBdr>
    </w:div>
    <w:div w:id="1253122170">
      <w:bodyDiv w:val="1"/>
      <w:marLeft w:val="0"/>
      <w:marRight w:val="0"/>
      <w:marTop w:val="0"/>
      <w:marBottom w:val="0"/>
      <w:divBdr>
        <w:top w:val="none" w:sz="0" w:space="0" w:color="auto"/>
        <w:left w:val="none" w:sz="0" w:space="0" w:color="auto"/>
        <w:bottom w:val="none" w:sz="0" w:space="0" w:color="auto"/>
        <w:right w:val="none" w:sz="0" w:space="0" w:color="auto"/>
      </w:divBdr>
    </w:div>
    <w:div w:id="1360812841">
      <w:bodyDiv w:val="1"/>
      <w:marLeft w:val="0"/>
      <w:marRight w:val="0"/>
      <w:marTop w:val="0"/>
      <w:marBottom w:val="0"/>
      <w:divBdr>
        <w:top w:val="none" w:sz="0" w:space="0" w:color="auto"/>
        <w:left w:val="none" w:sz="0" w:space="0" w:color="auto"/>
        <w:bottom w:val="none" w:sz="0" w:space="0" w:color="auto"/>
        <w:right w:val="none" w:sz="0" w:space="0" w:color="auto"/>
      </w:divBdr>
    </w:div>
    <w:div w:id="1447777312">
      <w:bodyDiv w:val="1"/>
      <w:marLeft w:val="0"/>
      <w:marRight w:val="0"/>
      <w:marTop w:val="0"/>
      <w:marBottom w:val="0"/>
      <w:divBdr>
        <w:top w:val="none" w:sz="0" w:space="0" w:color="auto"/>
        <w:left w:val="none" w:sz="0" w:space="0" w:color="auto"/>
        <w:bottom w:val="none" w:sz="0" w:space="0" w:color="auto"/>
        <w:right w:val="none" w:sz="0" w:space="0" w:color="auto"/>
      </w:divBdr>
    </w:div>
    <w:div w:id="1645693504">
      <w:bodyDiv w:val="1"/>
      <w:marLeft w:val="0"/>
      <w:marRight w:val="0"/>
      <w:marTop w:val="0"/>
      <w:marBottom w:val="0"/>
      <w:divBdr>
        <w:top w:val="none" w:sz="0" w:space="0" w:color="auto"/>
        <w:left w:val="none" w:sz="0" w:space="0" w:color="auto"/>
        <w:bottom w:val="none" w:sz="0" w:space="0" w:color="auto"/>
        <w:right w:val="none" w:sz="0" w:space="0" w:color="auto"/>
      </w:divBdr>
    </w:div>
    <w:div w:id="1921524524">
      <w:bodyDiv w:val="1"/>
      <w:marLeft w:val="0"/>
      <w:marRight w:val="0"/>
      <w:marTop w:val="0"/>
      <w:marBottom w:val="0"/>
      <w:divBdr>
        <w:top w:val="none" w:sz="0" w:space="0" w:color="auto"/>
        <w:left w:val="none" w:sz="0" w:space="0" w:color="auto"/>
        <w:bottom w:val="none" w:sz="0" w:space="0" w:color="auto"/>
        <w:right w:val="none" w:sz="0" w:space="0" w:color="auto"/>
      </w:divBdr>
    </w:div>
    <w:div w:id="2038000960">
      <w:bodyDiv w:val="1"/>
      <w:marLeft w:val="0"/>
      <w:marRight w:val="0"/>
      <w:marTop w:val="0"/>
      <w:marBottom w:val="0"/>
      <w:divBdr>
        <w:top w:val="none" w:sz="0" w:space="0" w:color="auto"/>
        <w:left w:val="none" w:sz="0" w:space="0" w:color="auto"/>
        <w:bottom w:val="none" w:sz="0" w:space="0" w:color="auto"/>
        <w:right w:val="none" w:sz="0" w:space="0" w:color="auto"/>
      </w:divBdr>
    </w:div>
    <w:div w:id="2134903093">
      <w:bodyDiv w:val="1"/>
      <w:marLeft w:val="0"/>
      <w:marRight w:val="0"/>
      <w:marTop w:val="0"/>
      <w:marBottom w:val="0"/>
      <w:divBdr>
        <w:top w:val="none" w:sz="0" w:space="0" w:color="auto"/>
        <w:left w:val="none" w:sz="0" w:space="0" w:color="auto"/>
        <w:bottom w:val="none" w:sz="0" w:space="0" w:color="auto"/>
        <w:right w:val="none" w:sz="0" w:space="0" w:color="auto"/>
      </w:divBdr>
    </w:div>
    <w:div w:id="214638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4.mailanyone.net/scanner?m=1oU5ZT-0004st-5a&amp;d=4%7Cmail%2F90%2F1662120600%2F1oU5ZT-0004st-5a%7Cin4i%7C57e1b682%7C11051344%7C13540177%7C6311F3BB070104175D6DB5B60A032E2C&amp;s=Fw2WoV9ZBiwqWqAvp_xh13mFiXk&amp;o=%2Fphtw%3A%2Fwtsrxw.ate.eeokc.tabuu%2Fdc%2Ffgs%2Featc-remutoeoeseseatm-t7a%23%2Ftn" TargetMode="External"/><Relationship Id="rId18" Type="http://schemas.openxmlformats.org/officeDocument/2006/relationships/hyperlink" Target="https://www.stmarys.ac.uk/about/corporate-information/degree-outcomes/revised-algorithms.aspx" TargetMode="External"/><Relationship Id="rId26" Type="http://schemas.openxmlformats.org/officeDocument/2006/relationships/hyperlink" Target="https://www.stmarys.ac.uk/about/vision-2030/about.aspx" TargetMode="External"/><Relationship Id="rId3" Type="http://schemas.openxmlformats.org/officeDocument/2006/relationships/customXml" Target="../customXml/item3.xml"/><Relationship Id="rId21" Type="http://schemas.openxmlformats.org/officeDocument/2006/relationships/hyperlink" Target="https://www.stmarys.ac.uk/ctess/docs/assessment/assessment-policy.pdf" TargetMode="External"/><Relationship Id="rId7" Type="http://schemas.openxmlformats.org/officeDocument/2006/relationships/settings" Target="settings.xml"/><Relationship Id="rId12" Type="http://schemas.openxmlformats.org/officeDocument/2006/relationships/hyperlink" Target="https://url4.mailanyone.net/scanner?m=1oU5ZT-0004st-5a&amp;d=4%7Cmail%2F90%2F1662120600%2F1oU5ZT-0004st-5a%7Cin4i%7C57e1b682%7C11051344%7C13540177%7C6311F3BB070104175D6DB5B60A032E2C&amp;s=-TSjPwIaGA0mTZE_stEvhvNG5ho&amp;o=%2Fphtw%3A%2Fwtsrxw.ate.eeokc.tabuu%2Fdc%2Ffgs%2Featc-remutoeoeseseatm-t9a%23%2Ftn" TargetMode="External"/><Relationship Id="rId17" Type="http://schemas.openxmlformats.org/officeDocument/2006/relationships/hyperlink" Target="https://www.stmarys.ac.uk/about/corporate-information/degree-outcomes/covid.aspx" TargetMode="External"/><Relationship Id="rId25" Type="http://schemas.openxmlformats.org/officeDocument/2006/relationships/hyperlink" Target="https://www.stmarys.ac.uk/about/corporate-information/docs/access-and-participation-plan-2020-24.pdf" TargetMode="External"/><Relationship Id="rId2" Type="http://schemas.openxmlformats.org/officeDocument/2006/relationships/customXml" Target="../customXml/item2.xml"/><Relationship Id="rId16" Type="http://schemas.openxmlformats.org/officeDocument/2006/relationships/hyperlink" Target="https://www.stmarys.ac.uk/about/corporate-information/degree-outcomes/degree-classification-algorithms.aspx" TargetMode="External"/><Relationship Id="rId20" Type="http://schemas.openxmlformats.org/officeDocument/2006/relationships/hyperlink" Target="https://www.stmarys.ac.uk/policies/academic-regulation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tmarys.ac.uk/registry/policies/registry-policies.aspx" TargetMode="Externa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url4.mailanyone.net/scanner?m=1oU5ZT-0004st-5a&amp;d=4%7Cmail%2F90%2F1662120600%2F1oU5ZT-0004st-5a%7Cin4i%7C57e1b682%7C11051344%7C13540177%7C6311F3BB070104175D6DB5B60A032E2C&amp;s=Fw2WoV9ZBiwqWqAvp_xh13mFiXk&amp;o=%2Fphtw%3A%2Fwtsrxw.ate.eeokc.tabuu%2Fdc%2Ffgs%2Featc-remutoeoeseseatm-t7a%23%2Ft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rl4.mailanyone.net/scanner?m=1oU5ZT-0004st-5a&amp;d=4%7Cmail%2F90%2F1662120600%2F1oU5ZT-0004st-5a%7Cin4i%7C57e1b682%7C11051344%7C13540177%7C6311F3BB070104175D6DB5B60A032E2C&amp;s=-TSjPwIaGA0mTZE_stEvhvNG5ho&amp;o=%2Fphtw%3A%2Fwtsrxw.ate.eeokc.tabuu%2Fdc%2Ffgs%2Featc-remutoeoeseseatm-t9a%23%2Ft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iesuk.ac.uk/what-we-do/policy-and-research/publications/after-pandemic-our-commitment-degree" TargetMode="External"/><Relationship Id="rId22" Type="http://schemas.openxmlformats.org/officeDocument/2006/relationships/hyperlink" Target="https://www.stmarys.ac.uk/ctess/qs/quality-assurance-and-enhancement-handbook/about.aspx"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11F1EC1030C40A5CC3079971A264F" ma:contentTypeVersion="7" ma:contentTypeDescription="Create a new document." ma:contentTypeScope="" ma:versionID="0e5ace4e1605432247948ff406b45bf5">
  <xsd:schema xmlns:xsd="http://www.w3.org/2001/XMLSchema" xmlns:xs="http://www.w3.org/2001/XMLSchema" xmlns:p="http://schemas.microsoft.com/office/2006/metadata/properties" xmlns:ns3="c53ca403-7cfa-4cab-90ed-badabcc7b9fa" targetNamespace="http://schemas.microsoft.com/office/2006/metadata/properties" ma:root="true" ma:fieldsID="c80dabf7ab7036d2901c3fa33d39c15d" ns3:_="">
    <xsd:import namespace="c53ca403-7cfa-4cab-90ed-badabcc7b9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ca403-7cfa-4cab-90ed-badabcc7b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A7102C-96D2-4FE0-9DBB-64AAC681E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ca403-7cfa-4cab-90ed-badabcc7b9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E5375-73E6-4FBB-8B7B-FFFBD4ABE7F5}">
  <ds:schemaRefs>
    <ds:schemaRef ds:uri="http://schemas.openxmlformats.org/officeDocument/2006/bibliography"/>
  </ds:schemaRefs>
</ds:datastoreItem>
</file>

<file path=customXml/itemProps3.xml><?xml version="1.0" encoding="utf-8"?>
<ds:datastoreItem xmlns:ds="http://schemas.openxmlformats.org/officeDocument/2006/customXml" ds:itemID="{CBA27D76-1737-4FC8-A180-FBA50E59C677}">
  <ds:schemaRefs>
    <ds:schemaRef ds:uri="http://schemas.microsoft.com/sharepoint/v3/contenttype/forms"/>
  </ds:schemaRefs>
</ds:datastoreItem>
</file>

<file path=customXml/itemProps4.xml><?xml version="1.0" encoding="utf-8"?>
<ds:datastoreItem xmlns:ds="http://schemas.openxmlformats.org/officeDocument/2006/customXml" ds:itemID="{DA285773-FFE4-4847-AC6A-038F4737334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2895</Words>
  <Characters>16505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St Marys University</Company>
  <LinksUpToDate>false</LinksUpToDate>
  <CharactersWithSpaces>19362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 Degree Outcomes Statement</dc:title>
  <dc:subject>SMU Degree Outcomes Statement</dc:subject>
  <dc:creator>Adam Longcroft</dc:creator>
  <cp:keywords>
  </cp:keywords>
  <dc:description>
  </dc:description>
  <cp:lastModifiedBy>Lucy Hurwood</cp:lastModifiedBy>
  <cp:revision>2</cp:revision>
  <cp:lastPrinted>2022-09-05T07:21:00Z</cp:lastPrinted>
  <dcterms:created xsi:type="dcterms:W3CDTF">2022-12-14T16:44:00Z</dcterms:created>
  <dcterms:modified xsi:type="dcterms:W3CDTF">2023-03-06T17:22:32Z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0x010100CAA11F1EC1030C40A5CC3079971A264F</vt:lpwstr>
  </property>
</Properties>
</file>