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00"/>
        <w:gridCol w:w="2826"/>
      </w:tblGrid>
      <w:tr w:rsidR="003775D5" w:rsidTr="00D64D51">
        <w:tc>
          <w:tcPr>
            <w:tcW w:w="6200" w:type="dxa"/>
          </w:tcPr>
          <w:p w:rsidRPr="005417E1" w:rsidR="003775D5" w:rsidP="005417E1" w:rsidRDefault="002F4498">
            <w:pPr>
              <w:pStyle w:val="Heading1"/>
              <w:outlineLvl w:val="0"/>
              <w:rPr>
                <w:rFonts w:ascii="Arial" w:hAnsi="Arial" w:cs="Arial"/>
                <w:b/>
                <w:sz w:val="24"/>
              </w:rPr>
            </w:pPr>
            <w:r w:rsidRPr="005417E1">
              <w:rPr>
                <w:rFonts w:ascii="Arial" w:hAnsi="Arial" w:cs="Arial"/>
                <w:b/>
                <w:color w:val="000000" w:themeColor="text1"/>
              </w:rPr>
              <w:t xml:space="preserve">Carbon Management Plan 2021 </w:t>
            </w:r>
            <w:r>
              <w:rPr>
                <w:rFonts w:ascii="Arial" w:hAnsi="Arial" w:cs="Arial"/>
                <w:b/>
                <w:color w:val="000000" w:themeColor="text1"/>
              </w:rPr>
              <w:t>r</w:t>
            </w:r>
            <w:r w:rsidRPr="005417E1">
              <w:rPr>
                <w:rFonts w:ascii="Arial" w:hAnsi="Arial" w:cs="Arial"/>
                <w:b/>
                <w:color w:val="000000" w:themeColor="text1"/>
              </w:rPr>
              <w:t>eview</w:t>
            </w:r>
          </w:p>
        </w:tc>
        <w:tc>
          <w:tcPr>
            <w:tcW w:w="2826" w:type="dxa"/>
          </w:tcPr>
          <w:p w:rsidR="003775D5" w:rsidRDefault="003775D5">
            <w:pPr>
              <w:rPr>
                <w:rFonts w:ascii="Arial" w:hAnsi="Arial" w:cs="Arial"/>
                <w:b/>
                <w:sz w:val="24"/>
                <w:szCs w:val="24"/>
              </w:rPr>
            </w:pPr>
            <w:r>
              <w:rPr>
                <w:noProof/>
                <w:lang w:eastAsia="en-GB"/>
              </w:rPr>
              <w:drawing>
                <wp:inline distT="0" distB="0" distL="0" distR="0" wp14:anchorId="6457A34A" wp14:editId="1120386F">
                  <wp:extent cx="1428750" cy="940303"/>
                  <wp:effectExtent l="0" t="0" r="0" b="0"/>
                  <wp:docPr id="12" name="Picture 12"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970" cy="948345"/>
                          </a:xfrm>
                          <a:prstGeom prst="rect">
                            <a:avLst/>
                          </a:prstGeom>
                          <a:noFill/>
                          <a:ln>
                            <a:noFill/>
                          </a:ln>
                        </pic:spPr>
                      </pic:pic>
                    </a:graphicData>
                  </a:graphic>
                </wp:inline>
              </w:drawing>
            </w:r>
          </w:p>
        </w:tc>
      </w:tr>
    </w:tbl>
    <w:p w:rsidR="003775D5" w:rsidRDefault="003775D5">
      <w:pPr>
        <w:pBdr>
          <w:bottom w:val="single" w:color="auto" w:sz="6" w:space="1"/>
        </w:pBdr>
        <w:rPr>
          <w:rFonts w:ascii="Arial" w:hAnsi="Arial" w:cs="Arial"/>
          <w:b/>
          <w:sz w:val="24"/>
          <w:szCs w:val="24"/>
        </w:rPr>
      </w:pPr>
    </w:p>
    <w:p w:rsidRPr="00630F5A" w:rsidR="00D64D51" w:rsidP="00630F5A" w:rsidRDefault="00D12857">
      <w:pPr>
        <w:pStyle w:val="Heading2"/>
        <w:numPr>
          <w:ilvl w:val="0"/>
          <w:numId w:val="15"/>
        </w:numPr>
        <w:rPr>
          <w:rFonts w:ascii="Arial" w:hAnsi="Arial" w:cs="Arial"/>
          <w:b/>
          <w:color w:val="0070C0"/>
        </w:rPr>
      </w:pPr>
      <w:r w:rsidRPr="00630F5A">
        <w:rPr>
          <w:rFonts w:ascii="Arial" w:hAnsi="Arial" w:cs="Arial"/>
          <w:b/>
          <w:color w:val="0070C0"/>
        </w:rPr>
        <w:t>Introduction</w:t>
      </w:r>
      <w:r w:rsidRPr="00630F5A" w:rsidR="009113D6">
        <w:rPr>
          <w:rFonts w:ascii="Arial" w:hAnsi="Arial" w:cs="Arial"/>
          <w:b/>
          <w:color w:val="0070C0"/>
        </w:rPr>
        <w:t xml:space="preserve"> </w:t>
      </w:r>
    </w:p>
    <w:p w:rsidR="00AE307D" w:rsidP="002F4498" w:rsidRDefault="00AE307D">
      <w:pPr>
        <w:pStyle w:val="ListParagraph"/>
        <w:spacing w:before="240" w:line="240" w:lineRule="auto"/>
        <w:ind w:left="357"/>
        <w:contextualSpacing w:val="0"/>
        <w:rPr>
          <w:rFonts w:ascii="Arial" w:hAnsi="Arial" w:cs="Arial"/>
          <w:sz w:val="24"/>
          <w:szCs w:val="24"/>
        </w:rPr>
      </w:pPr>
      <w:r>
        <w:rPr>
          <w:rFonts w:ascii="Arial" w:hAnsi="Arial" w:cs="Arial"/>
          <w:sz w:val="24"/>
          <w:szCs w:val="24"/>
        </w:rPr>
        <w:t>The University is required by the Companies and Limited Liability Partnerships (Energy and Carbon Report) Regulations to report on its annual carbon emissions.</w:t>
      </w:r>
    </w:p>
    <w:p w:rsidR="0008778D" w:rsidP="002F4498" w:rsidRDefault="009113D6">
      <w:pPr>
        <w:ind w:left="360"/>
        <w:rPr>
          <w:rFonts w:ascii="Arial" w:hAnsi="Arial" w:cs="Arial"/>
          <w:sz w:val="24"/>
          <w:szCs w:val="24"/>
        </w:rPr>
      </w:pPr>
      <w:r>
        <w:rPr>
          <w:rFonts w:ascii="Arial" w:hAnsi="Arial" w:cs="Arial"/>
          <w:sz w:val="24"/>
          <w:szCs w:val="24"/>
        </w:rPr>
        <w:t>In addition, t</w:t>
      </w:r>
      <w:r w:rsidRPr="00CB0684" w:rsidR="00031E6E">
        <w:rPr>
          <w:rFonts w:ascii="Arial" w:hAnsi="Arial" w:cs="Arial"/>
          <w:sz w:val="24"/>
          <w:szCs w:val="24"/>
        </w:rPr>
        <w:t xml:space="preserve">he University has previously been required to provide a </w:t>
      </w:r>
      <w:r w:rsidR="00031E6E">
        <w:rPr>
          <w:rFonts w:ascii="Arial" w:hAnsi="Arial" w:cs="Arial"/>
          <w:sz w:val="24"/>
          <w:szCs w:val="24"/>
        </w:rPr>
        <w:t>C</w:t>
      </w:r>
      <w:r w:rsidR="00D64D51">
        <w:rPr>
          <w:rFonts w:ascii="Arial" w:hAnsi="Arial" w:cs="Arial"/>
          <w:sz w:val="24"/>
          <w:szCs w:val="24"/>
        </w:rPr>
        <w:t xml:space="preserve">arbon </w:t>
      </w:r>
      <w:r w:rsidR="00031E6E">
        <w:rPr>
          <w:rFonts w:ascii="Arial" w:hAnsi="Arial" w:cs="Arial"/>
          <w:sz w:val="24"/>
          <w:szCs w:val="24"/>
        </w:rPr>
        <w:t>M</w:t>
      </w:r>
      <w:r w:rsidR="00D64D51">
        <w:rPr>
          <w:rFonts w:ascii="Arial" w:hAnsi="Arial" w:cs="Arial"/>
          <w:sz w:val="24"/>
          <w:szCs w:val="24"/>
        </w:rPr>
        <w:t xml:space="preserve">anagement </w:t>
      </w:r>
      <w:r w:rsidR="00031E6E">
        <w:rPr>
          <w:rFonts w:ascii="Arial" w:hAnsi="Arial" w:cs="Arial"/>
          <w:sz w:val="24"/>
          <w:szCs w:val="24"/>
        </w:rPr>
        <w:t>P</w:t>
      </w:r>
      <w:r w:rsidR="00D64D51">
        <w:rPr>
          <w:rFonts w:ascii="Arial" w:hAnsi="Arial" w:cs="Arial"/>
          <w:sz w:val="24"/>
          <w:szCs w:val="24"/>
        </w:rPr>
        <w:t>lan</w:t>
      </w:r>
      <w:r w:rsidR="00031E6E">
        <w:rPr>
          <w:rFonts w:ascii="Arial" w:hAnsi="Arial" w:cs="Arial"/>
          <w:sz w:val="24"/>
          <w:szCs w:val="24"/>
        </w:rPr>
        <w:t xml:space="preserve"> </w:t>
      </w:r>
      <w:r w:rsidRPr="00CB0684" w:rsidR="00031E6E">
        <w:rPr>
          <w:rFonts w:ascii="Arial" w:hAnsi="Arial" w:cs="Arial"/>
          <w:sz w:val="24"/>
          <w:szCs w:val="24"/>
        </w:rPr>
        <w:t xml:space="preserve">that complies with HEFCE requirements. </w:t>
      </w:r>
      <w:r w:rsidR="00AF6B36">
        <w:rPr>
          <w:rFonts w:ascii="Arial" w:hAnsi="Arial" w:cs="Arial"/>
          <w:sz w:val="24"/>
          <w:szCs w:val="24"/>
        </w:rPr>
        <w:t>The</w:t>
      </w:r>
      <w:r w:rsidR="00D64D51">
        <w:rPr>
          <w:rFonts w:ascii="Arial" w:hAnsi="Arial" w:cs="Arial"/>
          <w:sz w:val="24"/>
          <w:szCs w:val="24"/>
        </w:rPr>
        <w:t xml:space="preserve"> </w:t>
      </w:r>
      <w:r w:rsidRPr="00CB0684" w:rsidR="00031E6E">
        <w:rPr>
          <w:rFonts w:ascii="Arial" w:hAnsi="Arial" w:cs="Arial"/>
          <w:sz w:val="24"/>
          <w:szCs w:val="24"/>
        </w:rPr>
        <w:t xml:space="preserve">requirement </w:t>
      </w:r>
      <w:r w:rsidR="00031E6E">
        <w:rPr>
          <w:rFonts w:ascii="Arial" w:hAnsi="Arial" w:cs="Arial"/>
          <w:sz w:val="24"/>
          <w:szCs w:val="24"/>
        </w:rPr>
        <w:t>w</w:t>
      </w:r>
      <w:r w:rsidR="00D64D51">
        <w:rPr>
          <w:rFonts w:ascii="Arial" w:hAnsi="Arial" w:cs="Arial"/>
          <w:sz w:val="24"/>
          <w:szCs w:val="24"/>
        </w:rPr>
        <w:t>as</w:t>
      </w:r>
      <w:r w:rsidRPr="00CB0684" w:rsidR="00031E6E">
        <w:rPr>
          <w:rFonts w:ascii="Arial" w:hAnsi="Arial" w:cs="Arial"/>
          <w:sz w:val="24"/>
          <w:szCs w:val="24"/>
        </w:rPr>
        <w:t xml:space="preserve"> </w:t>
      </w:r>
      <w:r w:rsidR="000F0548">
        <w:rPr>
          <w:rFonts w:ascii="Arial" w:hAnsi="Arial" w:cs="Arial"/>
          <w:sz w:val="24"/>
          <w:szCs w:val="24"/>
        </w:rPr>
        <w:t xml:space="preserve">to </w:t>
      </w:r>
      <w:r w:rsidRPr="00CB0684" w:rsidR="00031E6E">
        <w:rPr>
          <w:rFonts w:ascii="Arial" w:hAnsi="Arial" w:cs="Arial"/>
          <w:sz w:val="24"/>
          <w:szCs w:val="24"/>
        </w:rPr>
        <w:t>reduc</w:t>
      </w:r>
      <w:r w:rsidR="00D64D51">
        <w:rPr>
          <w:rFonts w:ascii="Arial" w:hAnsi="Arial" w:cs="Arial"/>
          <w:sz w:val="24"/>
          <w:szCs w:val="24"/>
        </w:rPr>
        <w:t>e</w:t>
      </w:r>
      <w:r w:rsidRPr="00CB0684" w:rsidR="00031E6E">
        <w:rPr>
          <w:rFonts w:ascii="Arial" w:hAnsi="Arial" w:cs="Arial"/>
          <w:sz w:val="24"/>
          <w:szCs w:val="24"/>
        </w:rPr>
        <w:t xml:space="preserve"> </w:t>
      </w:r>
      <w:r w:rsidRPr="00CB0684" w:rsidR="00D64D51">
        <w:rPr>
          <w:rFonts w:ascii="Arial" w:hAnsi="Arial" w:cs="Arial"/>
          <w:sz w:val="24"/>
          <w:szCs w:val="24"/>
        </w:rPr>
        <w:t xml:space="preserve">annual </w:t>
      </w:r>
      <w:r w:rsidR="00D64D51">
        <w:rPr>
          <w:rFonts w:ascii="Arial" w:hAnsi="Arial" w:cs="Arial"/>
          <w:sz w:val="24"/>
          <w:szCs w:val="24"/>
        </w:rPr>
        <w:t xml:space="preserve">CO² </w:t>
      </w:r>
      <w:r w:rsidRPr="00CB0684" w:rsidR="00D64D51">
        <w:rPr>
          <w:rFonts w:ascii="Arial" w:hAnsi="Arial" w:cs="Arial"/>
          <w:sz w:val="24"/>
          <w:szCs w:val="24"/>
        </w:rPr>
        <w:t xml:space="preserve">by 2020 </w:t>
      </w:r>
      <w:r w:rsidR="00D64D51">
        <w:rPr>
          <w:rFonts w:ascii="Arial" w:hAnsi="Arial" w:cs="Arial"/>
          <w:sz w:val="24"/>
          <w:szCs w:val="24"/>
        </w:rPr>
        <w:t xml:space="preserve">by </w:t>
      </w:r>
      <w:r w:rsidR="006356C9">
        <w:rPr>
          <w:rFonts w:ascii="Arial" w:hAnsi="Arial" w:cs="Arial"/>
          <w:sz w:val="24"/>
          <w:szCs w:val="24"/>
        </w:rPr>
        <w:t xml:space="preserve">at least </w:t>
      </w:r>
      <w:r w:rsidRPr="00CB0684" w:rsidR="00031E6E">
        <w:rPr>
          <w:rFonts w:ascii="Arial" w:hAnsi="Arial" w:cs="Arial"/>
          <w:sz w:val="24"/>
          <w:szCs w:val="24"/>
        </w:rPr>
        <w:t>43% against a 2005 baseline.</w:t>
      </w:r>
    </w:p>
    <w:p w:rsidRPr="00630F5A" w:rsidR="009113D6" w:rsidP="00630F5A" w:rsidRDefault="009113D6">
      <w:pPr>
        <w:pStyle w:val="Heading2"/>
        <w:numPr>
          <w:ilvl w:val="0"/>
          <w:numId w:val="15"/>
        </w:numPr>
        <w:rPr>
          <w:rFonts w:ascii="Arial" w:hAnsi="Arial" w:cs="Arial"/>
          <w:b/>
          <w:color w:val="0070C0"/>
        </w:rPr>
      </w:pPr>
      <w:r w:rsidRPr="00630F5A">
        <w:rPr>
          <w:rFonts w:ascii="Arial" w:hAnsi="Arial" w:cs="Arial"/>
          <w:b/>
          <w:color w:val="0070C0"/>
        </w:rPr>
        <w:t>Carbon Management Plans overview</w:t>
      </w:r>
    </w:p>
    <w:p w:rsidR="00031E6E" w:rsidP="002F4498" w:rsidRDefault="00031E6E">
      <w:pPr>
        <w:ind w:left="360"/>
        <w:rPr>
          <w:rFonts w:ascii="Arial" w:hAnsi="Arial" w:cs="Arial"/>
          <w:sz w:val="24"/>
          <w:szCs w:val="24"/>
        </w:rPr>
      </w:pPr>
      <w:r>
        <w:rPr>
          <w:rFonts w:ascii="Arial" w:hAnsi="Arial" w:cs="Arial"/>
          <w:sz w:val="24"/>
          <w:szCs w:val="24"/>
        </w:rPr>
        <w:t>So far, we have produced two separate CMPs:</w:t>
      </w:r>
    </w:p>
    <w:p w:rsidR="00031E6E" w:rsidP="002F4498" w:rsidRDefault="00031E6E">
      <w:pPr>
        <w:pStyle w:val="ListParagraph"/>
        <w:numPr>
          <w:ilvl w:val="0"/>
          <w:numId w:val="14"/>
        </w:numPr>
        <w:rPr>
          <w:rFonts w:ascii="Arial" w:hAnsi="Arial" w:cs="Arial"/>
          <w:sz w:val="24"/>
          <w:szCs w:val="24"/>
        </w:rPr>
      </w:pPr>
      <w:r w:rsidRPr="001A1FF2">
        <w:rPr>
          <w:rFonts w:ascii="Arial" w:hAnsi="Arial" w:cs="Arial"/>
          <w:sz w:val="24"/>
          <w:szCs w:val="24"/>
        </w:rPr>
        <w:t>CMP 2011 - covering the period from to 2005 to 2015</w:t>
      </w:r>
    </w:p>
    <w:p w:rsidRPr="001A1FF2" w:rsidR="00031E6E" w:rsidP="002F4498" w:rsidRDefault="00031E6E">
      <w:pPr>
        <w:pStyle w:val="ListParagraph"/>
        <w:numPr>
          <w:ilvl w:val="0"/>
          <w:numId w:val="14"/>
        </w:numPr>
        <w:rPr>
          <w:rFonts w:ascii="Arial" w:hAnsi="Arial" w:cs="Arial"/>
          <w:sz w:val="24"/>
          <w:szCs w:val="24"/>
        </w:rPr>
      </w:pPr>
      <w:r>
        <w:rPr>
          <w:rFonts w:ascii="Arial" w:hAnsi="Arial" w:cs="Arial"/>
          <w:sz w:val="24"/>
          <w:szCs w:val="24"/>
        </w:rPr>
        <w:t xml:space="preserve">CMP 2015 </w:t>
      </w:r>
      <w:r w:rsidRPr="001A1FF2">
        <w:rPr>
          <w:rFonts w:ascii="Arial" w:hAnsi="Arial" w:cs="Arial"/>
          <w:sz w:val="24"/>
          <w:szCs w:val="24"/>
        </w:rPr>
        <w:t>- covering the period from to 20</w:t>
      </w:r>
      <w:r>
        <w:rPr>
          <w:rFonts w:ascii="Arial" w:hAnsi="Arial" w:cs="Arial"/>
          <w:sz w:val="24"/>
          <w:szCs w:val="24"/>
        </w:rPr>
        <w:t>1</w:t>
      </w:r>
      <w:r w:rsidRPr="001A1FF2">
        <w:rPr>
          <w:rFonts w:ascii="Arial" w:hAnsi="Arial" w:cs="Arial"/>
          <w:sz w:val="24"/>
          <w:szCs w:val="24"/>
        </w:rPr>
        <w:t>5 to 20</w:t>
      </w:r>
      <w:r>
        <w:rPr>
          <w:rFonts w:ascii="Arial" w:hAnsi="Arial" w:cs="Arial"/>
          <w:sz w:val="24"/>
          <w:szCs w:val="24"/>
        </w:rPr>
        <w:t>20</w:t>
      </w:r>
    </w:p>
    <w:p w:rsidR="0008778D" w:rsidP="002F4498" w:rsidRDefault="00031E6E">
      <w:pPr>
        <w:ind w:left="360"/>
        <w:rPr>
          <w:rFonts w:ascii="Arial" w:hAnsi="Arial" w:cs="Arial"/>
          <w:sz w:val="24"/>
          <w:szCs w:val="24"/>
        </w:rPr>
      </w:pPr>
      <w:r>
        <w:rPr>
          <w:rFonts w:ascii="Arial" w:hAnsi="Arial" w:cs="Arial"/>
          <w:sz w:val="24"/>
          <w:szCs w:val="24"/>
        </w:rPr>
        <w:t xml:space="preserve">The CMP 2011 set </w:t>
      </w:r>
      <w:r w:rsidR="009113D6">
        <w:rPr>
          <w:rFonts w:ascii="Arial" w:hAnsi="Arial" w:cs="Arial"/>
          <w:sz w:val="24"/>
          <w:szCs w:val="24"/>
        </w:rPr>
        <w:t>the</w:t>
      </w:r>
      <w:r>
        <w:rPr>
          <w:rFonts w:ascii="Arial" w:hAnsi="Arial" w:cs="Arial"/>
          <w:sz w:val="24"/>
          <w:szCs w:val="24"/>
        </w:rPr>
        <w:t xml:space="preserve"> carbon reduction baseline </w:t>
      </w:r>
      <w:r w:rsidR="009113D6">
        <w:rPr>
          <w:rFonts w:ascii="Arial" w:hAnsi="Arial" w:cs="Arial"/>
          <w:sz w:val="24"/>
          <w:szCs w:val="24"/>
        </w:rPr>
        <w:t>at</w:t>
      </w:r>
      <w:r>
        <w:rPr>
          <w:rFonts w:ascii="Arial" w:hAnsi="Arial" w:cs="Arial"/>
          <w:sz w:val="24"/>
          <w:szCs w:val="24"/>
        </w:rPr>
        <w:t xml:space="preserve"> 3,846 tonnes of CO² emissions</w:t>
      </w:r>
      <w:r w:rsidR="009113D6">
        <w:rPr>
          <w:rFonts w:ascii="Arial" w:hAnsi="Arial" w:cs="Arial"/>
          <w:sz w:val="24"/>
          <w:szCs w:val="24"/>
        </w:rPr>
        <w:t xml:space="preserve"> effective from 2005</w:t>
      </w:r>
      <w:r w:rsidR="0008778D">
        <w:rPr>
          <w:rFonts w:ascii="Arial" w:hAnsi="Arial" w:cs="Arial"/>
          <w:sz w:val="24"/>
          <w:szCs w:val="24"/>
        </w:rPr>
        <w:t xml:space="preserve"> with an interim target to 2015 of </w:t>
      </w:r>
      <w:r w:rsidR="00BE62BA">
        <w:rPr>
          <w:rFonts w:ascii="Arial" w:hAnsi="Arial" w:cs="Arial"/>
          <w:sz w:val="24"/>
          <w:szCs w:val="24"/>
        </w:rPr>
        <w:t>a 19</w:t>
      </w:r>
      <w:r w:rsidR="0008778D">
        <w:rPr>
          <w:rFonts w:ascii="Arial" w:hAnsi="Arial" w:cs="Arial"/>
          <w:sz w:val="24"/>
          <w:szCs w:val="24"/>
        </w:rPr>
        <w:t xml:space="preserve">% </w:t>
      </w:r>
      <w:proofErr w:type="gramStart"/>
      <w:r w:rsidR="0008778D">
        <w:rPr>
          <w:rFonts w:ascii="Arial" w:hAnsi="Arial" w:cs="Arial"/>
          <w:sz w:val="24"/>
          <w:szCs w:val="24"/>
        </w:rPr>
        <w:t>reduction</w:t>
      </w:r>
      <w:proofErr w:type="gramEnd"/>
      <w:r w:rsidR="0008778D">
        <w:rPr>
          <w:rFonts w:ascii="Arial" w:hAnsi="Arial" w:cs="Arial"/>
          <w:sz w:val="24"/>
          <w:szCs w:val="24"/>
        </w:rPr>
        <w:t xml:space="preserve"> in CO² emissions</w:t>
      </w:r>
      <w:r>
        <w:rPr>
          <w:rFonts w:ascii="Arial" w:hAnsi="Arial" w:cs="Arial"/>
          <w:sz w:val="24"/>
          <w:szCs w:val="24"/>
        </w:rPr>
        <w:t>.</w:t>
      </w:r>
    </w:p>
    <w:p w:rsidRPr="00630F5A" w:rsidR="0008778D" w:rsidP="00630F5A" w:rsidRDefault="0008778D">
      <w:pPr>
        <w:pStyle w:val="Heading2"/>
        <w:numPr>
          <w:ilvl w:val="0"/>
          <w:numId w:val="15"/>
        </w:numPr>
        <w:rPr>
          <w:rFonts w:ascii="Arial" w:hAnsi="Arial" w:cs="Arial"/>
          <w:b/>
          <w:color w:val="0070C0"/>
        </w:rPr>
      </w:pPr>
      <w:r w:rsidRPr="00630F5A">
        <w:rPr>
          <w:rFonts w:ascii="Arial" w:hAnsi="Arial" w:cs="Arial"/>
          <w:b/>
          <w:color w:val="0070C0"/>
        </w:rPr>
        <w:t xml:space="preserve">Review of 2011 CMP </w:t>
      </w:r>
    </w:p>
    <w:p w:rsidRPr="005A19C9" w:rsidR="0008778D" w:rsidP="002F4498" w:rsidRDefault="00031E6E">
      <w:pPr>
        <w:ind w:left="360"/>
        <w:rPr>
          <w:rFonts w:ascii="Arial" w:hAnsi="Arial" w:cs="Arial"/>
          <w:sz w:val="24"/>
          <w:szCs w:val="24"/>
        </w:rPr>
      </w:pPr>
      <w:r>
        <w:rPr>
          <w:rFonts w:ascii="Arial" w:hAnsi="Arial" w:cs="Arial"/>
          <w:sz w:val="24"/>
          <w:szCs w:val="24"/>
        </w:rPr>
        <w:t xml:space="preserve">The previous Director of Estates reported </w:t>
      </w:r>
      <w:r w:rsidR="0008778D">
        <w:rPr>
          <w:rFonts w:ascii="Arial" w:hAnsi="Arial" w:cs="Arial"/>
          <w:sz w:val="24"/>
          <w:szCs w:val="24"/>
        </w:rPr>
        <w:t xml:space="preserve">to senior management </w:t>
      </w:r>
      <w:r>
        <w:rPr>
          <w:rFonts w:ascii="Arial" w:hAnsi="Arial" w:cs="Arial"/>
          <w:sz w:val="24"/>
          <w:szCs w:val="24"/>
        </w:rPr>
        <w:t>in 2015 that a reduction of 21% had been achieved against the 2005 baseline</w:t>
      </w:r>
      <w:r w:rsidR="0008778D">
        <w:rPr>
          <w:rFonts w:ascii="Arial" w:hAnsi="Arial" w:cs="Arial"/>
          <w:sz w:val="24"/>
          <w:szCs w:val="24"/>
        </w:rPr>
        <w:t>.</w:t>
      </w:r>
    </w:p>
    <w:p w:rsidRPr="00630F5A" w:rsidR="00CC52A3" w:rsidP="00630F5A" w:rsidRDefault="00325FF9">
      <w:pPr>
        <w:pStyle w:val="Heading2"/>
        <w:numPr>
          <w:ilvl w:val="0"/>
          <w:numId w:val="15"/>
        </w:numPr>
        <w:rPr>
          <w:rFonts w:ascii="Arial" w:hAnsi="Arial" w:cs="Arial"/>
          <w:b/>
          <w:color w:val="0070C0"/>
        </w:rPr>
      </w:pPr>
      <w:r w:rsidRPr="00630F5A">
        <w:rPr>
          <w:rFonts w:ascii="Arial" w:hAnsi="Arial" w:cs="Arial"/>
          <w:b/>
          <w:color w:val="0070C0"/>
        </w:rPr>
        <w:t>Review of 2015 CMP</w:t>
      </w:r>
    </w:p>
    <w:p w:rsidR="00E84BB4" w:rsidP="002F4498" w:rsidRDefault="001A1FF2">
      <w:pPr>
        <w:ind w:left="360"/>
        <w:rPr>
          <w:rFonts w:ascii="Arial" w:hAnsi="Arial" w:cs="Arial"/>
          <w:sz w:val="24"/>
          <w:szCs w:val="24"/>
        </w:rPr>
      </w:pPr>
      <w:r>
        <w:rPr>
          <w:rFonts w:ascii="Arial" w:hAnsi="Arial" w:cs="Arial"/>
          <w:sz w:val="24"/>
          <w:szCs w:val="24"/>
        </w:rPr>
        <w:t xml:space="preserve">The CMP 2015 set a reduction target of 28% to 2020. </w:t>
      </w:r>
      <w:r w:rsidR="00A20750">
        <w:rPr>
          <w:rFonts w:ascii="Arial" w:hAnsi="Arial" w:cs="Arial"/>
          <w:sz w:val="24"/>
          <w:szCs w:val="24"/>
        </w:rPr>
        <w:t xml:space="preserve">Using the 2014-15 total emissions as </w:t>
      </w:r>
      <w:r w:rsidR="006356C9">
        <w:rPr>
          <w:rFonts w:ascii="Arial" w:hAnsi="Arial" w:cs="Arial"/>
          <w:sz w:val="24"/>
          <w:szCs w:val="24"/>
        </w:rPr>
        <w:t>the</w:t>
      </w:r>
      <w:r w:rsidR="00A20750">
        <w:rPr>
          <w:rFonts w:ascii="Arial" w:hAnsi="Arial" w:cs="Arial"/>
          <w:sz w:val="24"/>
          <w:szCs w:val="24"/>
        </w:rPr>
        <w:t xml:space="preserve"> baseline, annual carbon emissions are as shown in the table below:</w:t>
      </w:r>
    </w:p>
    <w:tbl>
      <w:tblPr>
        <w:tblStyle w:val="TableGrid"/>
        <w:tblW w:w="7893" w:type="dxa"/>
        <w:tblInd w:w="607" w:type="dxa"/>
        <w:tblLook w:val="04A0" w:firstRow="1" w:lastRow="0" w:firstColumn="1" w:lastColumn="0" w:noHBand="0" w:noVBand="1"/>
      </w:tblPr>
      <w:tblGrid>
        <w:gridCol w:w="1540"/>
        <w:gridCol w:w="1540"/>
        <w:gridCol w:w="1270"/>
        <w:gridCol w:w="1275"/>
        <w:gridCol w:w="1003"/>
        <w:gridCol w:w="1265"/>
      </w:tblGrid>
      <w:tr w:rsidRPr="00A20750" w:rsidR="00A20750" w:rsidTr="002F4498">
        <w:trPr>
          <w:trHeight w:val="420"/>
        </w:trPr>
        <w:tc>
          <w:tcPr>
            <w:tcW w:w="1540" w:type="dxa"/>
            <w:hideMark/>
          </w:tcPr>
          <w:p w:rsidRPr="0008778D" w:rsidR="00A20750" w:rsidP="00A20750" w:rsidRDefault="00A20750">
            <w:pPr>
              <w:jc w:val="center"/>
              <w:rPr>
                <w:rFonts w:ascii="Arial" w:hAnsi="Arial" w:eastAsia="Times New Roman" w:cs="Arial"/>
                <w:b/>
                <w:bCs/>
                <w:color w:val="000000"/>
                <w:sz w:val="24"/>
                <w:szCs w:val="28"/>
                <w:lang w:eastAsia="en-GB"/>
              </w:rPr>
            </w:pPr>
            <w:r w:rsidRPr="0008778D">
              <w:rPr>
                <w:rFonts w:ascii="Arial" w:hAnsi="Arial" w:eastAsia="Times New Roman" w:cs="Arial"/>
                <w:b/>
                <w:bCs/>
                <w:color w:val="000000"/>
                <w:sz w:val="24"/>
                <w:szCs w:val="28"/>
                <w:lang w:eastAsia="en-GB"/>
              </w:rPr>
              <w:t>Year (August to July)</w:t>
            </w:r>
          </w:p>
        </w:tc>
        <w:tc>
          <w:tcPr>
            <w:tcW w:w="1540" w:type="dxa"/>
            <w:hideMark/>
          </w:tcPr>
          <w:p w:rsidRPr="0008778D" w:rsidR="00A20750" w:rsidP="00A20750" w:rsidRDefault="00A20750">
            <w:pPr>
              <w:jc w:val="center"/>
              <w:rPr>
                <w:rFonts w:ascii="Arial" w:hAnsi="Arial" w:eastAsia="Times New Roman" w:cs="Arial"/>
                <w:b/>
                <w:bCs/>
                <w:color w:val="000000"/>
                <w:sz w:val="24"/>
                <w:szCs w:val="28"/>
                <w:lang w:eastAsia="en-GB"/>
              </w:rPr>
            </w:pPr>
            <w:r w:rsidRPr="0008778D">
              <w:rPr>
                <w:rFonts w:ascii="Arial" w:hAnsi="Arial" w:eastAsia="Times New Roman" w:cs="Arial"/>
                <w:b/>
                <w:bCs/>
                <w:color w:val="000000"/>
                <w:sz w:val="24"/>
                <w:szCs w:val="28"/>
                <w:lang w:eastAsia="en-GB"/>
              </w:rPr>
              <w:t xml:space="preserve">Total </w:t>
            </w:r>
            <w:r w:rsidRPr="0008778D" w:rsidR="001A1FF2">
              <w:rPr>
                <w:rFonts w:ascii="Arial" w:hAnsi="Arial" w:eastAsia="Times New Roman" w:cs="Arial"/>
                <w:b/>
                <w:bCs/>
                <w:color w:val="000000"/>
                <w:sz w:val="24"/>
                <w:szCs w:val="28"/>
                <w:lang w:eastAsia="en-GB"/>
              </w:rPr>
              <w:t>electricity</w:t>
            </w:r>
            <w:r w:rsidRPr="0008778D">
              <w:rPr>
                <w:rFonts w:ascii="Arial" w:hAnsi="Arial" w:eastAsia="Times New Roman" w:cs="Arial"/>
                <w:b/>
                <w:bCs/>
                <w:color w:val="000000"/>
                <w:sz w:val="24"/>
                <w:szCs w:val="28"/>
                <w:lang w:eastAsia="en-GB"/>
              </w:rPr>
              <w:t xml:space="preserve"> and gas CO</w:t>
            </w:r>
            <w:r w:rsidRPr="0008778D" w:rsidR="001A1FF2">
              <w:rPr>
                <w:rFonts w:ascii="Arial" w:hAnsi="Arial" w:eastAsia="Times New Roman" w:cs="Arial"/>
                <w:b/>
                <w:bCs/>
                <w:color w:val="000000"/>
                <w:sz w:val="24"/>
                <w:szCs w:val="28"/>
                <w:lang w:eastAsia="en-GB"/>
              </w:rPr>
              <w:t>²</w:t>
            </w:r>
            <w:r w:rsidRPr="0008778D">
              <w:rPr>
                <w:rFonts w:ascii="Arial" w:hAnsi="Arial" w:eastAsia="Times New Roman" w:cs="Arial"/>
                <w:b/>
                <w:bCs/>
                <w:color w:val="000000"/>
                <w:sz w:val="24"/>
                <w:szCs w:val="28"/>
                <w:lang w:eastAsia="en-GB"/>
              </w:rPr>
              <w:t xml:space="preserve"> tonnes</w:t>
            </w:r>
          </w:p>
        </w:tc>
        <w:tc>
          <w:tcPr>
            <w:tcW w:w="1270" w:type="dxa"/>
            <w:hideMark/>
          </w:tcPr>
          <w:p w:rsidRPr="0008778D" w:rsidR="00A20750" w:rsidP="00A20750" w:rsidRDefault="00A20750">
            <w:pPr>
              <w:jc w:val="center"/>
              <w:rPr>
                <w:rFonts w:ascii="Arial" w:hAnsi="Arial" w:eastAsia="Times New Roman" w:cs="Arial"/>
                <w:b/>
                <w:bCs/>
                <w:color w:val="000000"/>
                <w:sz w:val="24"/>
                <w:szCs w:val="28"/>
                <w:lang w:eastAsia="en-GB"/>
              </w:rPr>
            </w:pPr>
            <w:r w:rsidRPr="0008778D">
              <w:rPr>
                <w:rFonts w:ascii="Arial" w:hAnsi="Arial" w:eastAsia="Times New Roman" w:cs="Arial"/>
                <w:b/>
                <w:bCs/>
                <w:color w:val="000000"/>
                <w:sz w:val="24"/>
                <w:szCs w:val="28"/>
                <w:lang w:eastAsia="en-GB"/>
              </w:rPr>
              <w:t>Total water CO</w:t>
            </w:r>
            <w:r w:rsidRPr="0008778D" w:rsidR="001A1FF2">
              <w:rPr>
                <w:rFonts w:ascii="Arial" w:hAnsi="Arial" w:eastAsia="Times New Roman" w:cs="Arial"/>
                <w:b/>
                <w:bCs/>
                <w:color w:val="000000"/>
                <w:sz w:val="24"/>
                <w:szCs w:val="28"/>
                <w:lang w:eastAsia="en-GB"/>
              </w:rPr>
              <w:t xml:space="preserve">² </w:t>
            </w:r>
            <w:r w:rsidRPr="0008778D">
              <w:rPr>
                <w:rFonts w:ascii="Arial" w:hAnsi="Arial" w:eastAsia="Times New Roman" w:cs="Arial"/>
                <w:b/>
                <w:bCs/>
                <w:color w:val="000000"/>
                <w:sz w:val="24"/>
                <w:szCs w:val="28"/>
                <w:lang w:eastAsia="en-GB"/>
              </w:rPr>
              <w:t>tonnes</w:t>
            </w:r>
          </w:p>
        </w:tc>
        <w:tc>
          <w:tcPr>
            <w:tcW w:w="1275" w:type="dxa"/>
            <w:hideMark/>
          </w:tcPr>
          <w:p w:rsidRPr="0008778D" w:rsidR="00A20750" w:rsidP="00A20750" w:rsidRDefault="00A20750">
            <w:pPr>
              <w:jc w:val="center"/>
              <w:rPr>
                <w:rFonts w:ascii="Arial" w:hAnsi="Arial" w:eastAsia="Times New Roman" w:cs="Arial"/>
                <w:b/>
                <w:bCs/>
                <w:color w:val="000000"/>
                <w:sz w:val="24"/>
                <w:szCs w:val="28"/>
                <w:lang w:eastAsia="en-GB"/>
              </w:rPr>
            </w:pPr>
            <w:r w:rsidRPr="0008778D">
              <w:rPr>
                <w:rFonts w:ascii="Arial" w:hAnsi="Arial" w:eastAsia="Times New Roman" w:cs="Arial"/>
                <w:b/>
                <w:bCs/>
                <w:color w:val="000000"/>
                <w:sz w:val="24"/>
                <w:szCs w:val="28"/>
                <w:lang w:eastAsia="en-GB"/>
              </w:rPr>
              <w:t xml:space="preserve">Total transport </w:t>
            </w:r>
            <w:r w:rsidRPr="0008778D" w:rsidR="001A1FF2">
              <w:rPr>
                <w:rFonts w:ascii="Arial" w:hAnsi="Arial" w:eastAsia="Times New Roman" w:cs="Arial"/>
                <w:b/>
                <w:bCs/>
                <w:color w:val="000000"/>
                <w:sz w:val="24"/>
                <w:szCs w:val="28"/>
                <w:lang w:eastAsia="en-GB"/>
              </w:rPr>
              <w:t>CO² tonnes</w:t>
            </w:r>
          </w:p>
        </w:tc>
        <w:tc>
          <w:tcPr>
            <w:tcW w:w="1003" w:type="dxa"/>
            <w:hideMark/>
          </w:tcPr>
          <w:p w:rsidRPr="0008778D" w:rsidR="00A20750" w:rsidP="00A20750" w:rsidRDefault="00A20750">
            <w:pPr>
              <w:jc w:val="center"/>
              <w:rPr>
                <w:rFonts w:ascii="Arial" w:hAnsi="Arial" w:eastAsia="Times New Roman" w:cs="Arial"/>
                <w:b/>
                <w:bCs/>
                <w:color w:val="000000"/>
                <w:sz w:val="24"/>
                <w:szCs w:val="28"/>
                <w:lang w:eastAsia="en-GB"/>
              </w:rPr>
            </w:pPr>
            <w:r w:rsidRPr="0008778D">
              <w:rPr>
                <w:rFonts w:ascii="Arial" w:hAnsi="Arial" w:eastAsia="Times New Roman" w:cs="Arial"/>
                <w:b/>
                <w:bCs/>
                <w:color w:val="000000"/>
                <w:sz w:val="24"/>
                <w:szCs w:val="28"/>
                <w:lang w:eastAsia="en-GB"/>
              </w:rPr>
              <w:t xml:space="preserve">Total </w:t>
            </w:r>
            <w:r w:rsidRPr="0008778D" w:rsidR="001A1FF2">
              <w:rPr>
                <w:rFonts w:ascii="Arial" w:hAnsi="Arial" w:eastAsia="Times New Roman" w:cs="Arial"/>
                <w:b/>
                <w:bCs/>
                <w:color w:val="000000"/>
                <w:sz w:val="24"/>
                <w:szCs w:val="28"/>
                <w:lang w:eastAsia="en-GB"/>
              </w:rPr>
              <w:t>CO² tonnes</w:t>
            </w:r>
          </w:p>
        </w:tc>
        <w:tc>
          <w:tcPr>
            <w:tcW w:w="1265" w:type="dxa"/>
            <w:hideMark/>
          </w:tcPr>
          <w:p w:rsidRPr="0008778D" w:rsidR="00A20750" w:rsidP="00A20750" w:rsidRDefault="00A20750">
            <w:pPr>
              <w:jc w:val="center"/>
              <w:rPr>
                <w:rFonts w:ascii="Arial" w:hAnsi="Arial" w:eastAsia="Times New Roman" w:cs="Arial"/>
                <w:b/>
                <w:bCs/>
                <w:color w:val="000000"/>
                <w:sz w:val="24"/>
                <w:szCs w:val="28"/>
                <w:lang w:eastAsia="en-GB"/>
              </w:rPr>
            </w:pPr>
            <w:r w:rsidRPr="0008778D">
              <w:rPr>
                <w:rFonts w:ascii="Arial" w:hAnsi="Arial" w:eastAsia="Times New Roman" w:cs="Arial"/>
                <w:b/>
                <w:bCs/>
                <w:color w:val="000000"/>
                <w:sz w:val="24"/>
                <w:szCs w:val="28"/>
                <w:lang w:eastAsia="en-GB"/>
              </w:rPr>
              <w:t>Change year to year</w:t>
            </w:r>
          </w:p>
        </w:tc>
      </w:tr>
      <w:tr w:rsidRPr="00A20750" w:rsidR="00A20750" w:rsidTr="002F4498">
        <w:trPr>
          <w:trHeight w:val="420"/>
        </w:trPr>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2015-16</w:t>
            </w:r>
          </w:p>
        </w:tc>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2,988</w:t>
            </w:r>
          </w:p>
        </w:tc>
        <w:tc>
          <w:tcPr>
            <w:tcW w:w="127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40</w:t>
            </w:r>
          </w:p>
        </w:tc>
        <w:tc>
          <w:tcPr>
            <w:tcW w:w="127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8</w:t>
            </w:r>
          </w:p>
        </w:tc>
        <w:tc>
          <w:tcPr>
            <w:tcW w:w="1003"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3,037</w:t>
            </w:r>
          </w:p>
        </w:tc>
        <w:tc>
          <w:tcPr>
            <w:tcW w:w="126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 </w:t>
            </w:r>
          </w:p>
        </w:tc>
      </w:tr>
      <w:tr w:rsidRPr="00A20750" w:rsidR="00A20750" w:rsidTr="002F4498">
        <w:trPr>
          <w:trHeight w:val="420"/>
        </w:trPr>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2016-17</w:t>
            </w:r>
          </w:p>
        </w:tc>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2,800</w:t>
            </w:r>
          </w:p>
        </w:tc>
        <w:tc>
          <w:tcPr>
            <w:tcW w:w="127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41</w:t>
            </w:r>
          </w:p>
        </w:tc>
        <w:tc>
          <w:tcPr>
            <w:tcW w:w="127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9</w:t>
            </w:r>
          </w:p>
        </w:tc>
        <w:tc>
          <w:tcPr>
            <w:tcW w:w="1003"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2,849</w:t>
            </w:r>
          </w:p>
        </w:tc>
        <w:tc>
          <w:tcPr>
            <w:tcW w:w="126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-6.</w:t>
            </w:r>
            <w:r w:rsidRPr="0008778D" w:rsidR="001A1FF2">
              <w:rPr>
                <w:rFonts w:ascii="Arial" w:hAnsi="Arial" w:eastAsia="Times New Roman" w:cs="Arial"/>
                <w:color w:val="000000"/>
                <w:sz w:val="24"/>
                <w:szCs w:val="28"/>
                <w:lang w:eastAsia="en-GB"/>
              </w:rPr>
              <w:t>2</w:t>
            </w:r>
            <w:r w:rsidRPr="0008778D">
              <w:rPr>
                <w:rFonts w:ascii="Arial" w:hAnsi="Arial" w:eastAsia="Times New Roman" w:cs="Arial"/>
                <w:color w:val="000000"/>
                <w:sz w:val="24"/>
                <w:szCs w:val="28"/>
                <w:lang w:eastAsia="en-GB"/>
              </w:rPr>
              <w:t>%</w:t>
            </w:r>
          </w:p>
        </w:tc>
      </w:tr>
      <w:tr w:rsidRPr="00A20750" w:rsidR="00A20750" w:rsidTr="002F4498">
        <w:trPr>
          <w:trHeight w:val="420"/>
        </w:trPr>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2017-18</w:t>
            </w:r>
          </w:p>
        </w:tc>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2,564</w:t>
            </w:r>
          </w:p>
        </w:tc>
        <w:tc>
          <w:tcPr>
            <w:tcW w:w="127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36</w:t>
            </w:r>
          </w:p>
        </w:tc>
        <w:tc>
          <w:tcPr>
            <w:tcW w:w="127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9</w:t>
            </w:r>
          </w:p>
        </w:tc>
        <w:tc>
          <w:tcPr>
            <w:tcW w:w="1003"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2,609</w:t>
            </w:r>
          </w:p>
        </w:tc>
        <w:tc>
          <w:tcPr>
            <w:tcW w:w="126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-8.</w:t>
            </w:r>
            <w:r w:rsidRPr="0008778D" w:rsidR="001A1FF2">
              <w:rPr>
                <w:rFonts w:ascii="Arial" w:hAnsi="Arial" w:eastAsia="Times New Roman" w:cs="Arial"/>
                <w:color w:val="000000"/>
                <w:sz w:val="24"/>
                <w:szCs w:val="28"/>
                <w:lang w:eastAsia="en-GB"/>
              </w:rPr>
              <w:t>5</w:t>
            </w:r>
            <w:r w:rsidRPr="0008778D">
              <w:rPr>
                <w:rFonts w:ascii="Arial" w:hAnsi="Arial" w:eastAsia="Times New Roman" w:cs="Arial"/>
                <w:color w:val="000000"/>
                <w:sz w:val="24"/>
                <w:szCs w:val="28"/>
                <w:lang w:eastAsia="en-GB"/>
              </w:rPr>
              <w:t>%</w:t>
            </w:r>
          </w:p>
        </w:tc>
      </w:tr>
      <w:tr w:rsidRPr="00A20750" w:rsidR="00A20750" w:rsidTr="002F4498">
        <w:trPr>
          <w:trHeight w:val="420"/>
        </w:trPr>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2018-19</w:t>
            </w:r>
          </w:p>
        </w:tc>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2,304</w:t>
            </w:r>
          </w:p>
        </w:tc>
        <w:tc>
          <w:tcPr>
            <w:tcW w:w="127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36</w:t>
            </w:r>
          </w:p>
        </w:tc>
        <w:tc>
          <w:tcPr>
            <w:tcW w:w="127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8</w:t>
            </w:r>
          </w:p>
        </w:tc>
        <w:tc>
          <w:tcPr>
            <w:tcW w:w="1003"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2,349</w:t>
            </w:r>
          </w:p>
        </w:tc>
        <w:tc>
          <w:tcPr>
            <w:tcW w:w="126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-9.9%</w:t>
            </w:r>
          </w:p>
        </w:tc>
      </w:tr>
      <w:tr w:rsidRPr="00A20750" w:rsidR="00A20750" w:rsidTr="002F4498">
        <w:trPr>
          <w:trHeight w:val="420"/>
        </w:trPr>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2019-20</w:t>
            </w:r>
          </w:p>
        </w:tc>
        <w:tc>
          <w:tcPr>
            <w:tcW w:w="154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2,248</w:t>
            </w:r>
          </w:p>
        </w:tc>
        <w:tc>
          <w:tcPr>
            <w:tcW w:w="1270"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40</w:t>
            </w:r>
          </w:p>
        </w:tc>
        <w:tc>
          <w:tcPr>
            <w:tcW w:w="127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7</w:t>
            </w:r>
          </w:p>
        </w:tc>
        <w:tc>
          <w:tcPr>
            <w:tcW w:w="1003"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2,296</w:t>
            </w:r>
          </w:p>
        </w:tc>
        <w:tc>
          <w:tcPr>
            <w:tcW w:w="1265" w:type="dxa"/>
            <w:noWrap/>
            <w:hideMark/>
          </w:tcPr>
          <w:p w:rsidRPr="0008778D" w:rsidR="00A20750" w:rsidP="00A20750" w:rsidRDefault="00A20750">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w:t>
            </w:r>
            <w:r w:rsidRPr="0008778D" w:rsidR="001A1FF2">
              <w:rPr>
                <w:rFonts w:ascii="Arial" w:hAnsi="Arial" w:eastAsia="Times New Roman" w:cs="Arial"/>
                <w:color w:val="000000"/>
                <w:sz w:val="24"/>
                <w:szCs w:val="28"/>
                <w:lang w:eastAsia="en-GB"/>
              </w:rPr>
              <w:t>3</w:t>
            </w:r>
            <w:r w:rsidRPr="0008778D">
              <w:rPr>
                <w:rFonts w:ascii="Arial" w:hAnsi="Arial" w:eastAsia="Times New Roman" w:cs="Arial"/>
                <w:color w:val="000000"/>
                <w:sz w:val="24"/>
                <w:szCs w:val="28"/>
                <w:lang w:eastAsia="en-GB"/>
              </w:rPr>
              <w:t>%</w:t>
            </w:r>
          </w:p>
        </w:tc>
      </w:tr>
      <w:tr w:rsidRPr="00A20750" w:rsidR="00460701" w:rsidTr="002F4498">
        <w:trPr>
          <w:trHeight w:val="420"/>
        </w:trPr>
        <w:tc>
          <w:tcPr>
            <w:tcW w:w="1540" w:type="dxa"/>
            <w:noWrap/>
          </w:tcPr>
          <w:p w:rsidRPr="0008778D" w:rsidR="00460701" w:rsidP="00460701" w:rsidRDefault="00460701">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Total change</w:t>
            </w:r>
          </w:p>
        </w:tc>
        <w:tc>
          <w:tcPr>
            <w:tcW w:w="1540" w:type="dxa"/>
            <w:noWrap/>
          </w:tcPr>
          <w:p w:rsidRPr="0008778D" w:rsidR="00460701" w:rsidP="00A20750" w:rsidRDefault="00460701">
            <w:pPr>
              <w:jc w:val="center"/>
              <w:rPr>
                <w:rFonts w:ascii="Arial" w:hAnsi="Arial" w:eastAsia="Times New Roman" w:cs="Arial"/>
                <w:color w:val="000000"/>
                <w:sz w:val="24"/>
                <w:szCs w:val="28"/>
                <w:lang w:eastAsia="en-GB"/>
              </w:rPr>
            </w:pPr>
          </w:p>
        </w:tc>
        <w:tc>
          <w:tcPr>
            <w:tcW w:w="1270" w:type="dxa"/>
            <w:noWrap/>
          </w:tcPr>
          <w:p w:rsidRPr="0008778D" w:rsidR="00460701" w:rsidP="00A20750" w:rsidRDefault="00460701">
            <w:pPr>
              <w:jc w:val="center"/>
              <w:rPr>
                <w:rFonts w:ascii="Arial" w:hAnsi="Arial" w:eastAsia="Times New Roman" w:cs="Arial"/>
                <w:color w:val="000000"/>
                <w:sz w:val="24"/>
                <w:szCs w:val="28"/>
                <w:lang w:eastAsia="en-GB"/>
              </w:rPr>
            </w:pPr>
          </w:p>
        </w:tc>
        <w:tc>
          <w:tcPr>
            <w:tcW w:w="1275" w:type="dxa"/>
            <w:noWrap/>
          </w:tcPr>
          <w:p w:rsidRPr="0008778D" w:rsidR="00460701" w:rsidP="00A20750" w:rsidRDefault="00460701">
            <w:pPr>
              <w:jc w:val="center"/>
              <w:rPr>
                <w:rFonts w:ascii="Arial" w:hAnsi="Arial" w:eastAsia="Times New Roman" w:cs="Arial"/>
                <w:color w:val="000000"/>
                <w:sz w:val="24"/>
                <w:szCs w:val="28"/>
                <w:lang w:eastAsia="en-GB"/>
              </w:rPr>
            </w:pPr>
          </w:p>
        </w:tc>
        <w:tc>
          <w:tcPr>
            <w:tcW w:w="1003" w:type="dxa"/>
            <w:noWrap/>
          </w:tcPr>
          <w:p w:rsidRPr="0008778D" w:rsidR="00460701" w:rsidP="00A20750" w:rsidRDefault="00460701">
            <w:pPr>
              <w:jc w:val="center"/>
              <w:rPr>
                <w:rFonts w:ascii="Arial" w:hAnsi="Arial" w:eastAsia="Times New Roman" w:cs="Arial"/>
                <w:color w:val="000000"/>
                <w:sz w:val="24"/>
                <w:szCs w:val="28"/>
                <w:lang w:eastAsia="en-GB"/>
              </w:rPr>
            </w:pPr>
          </w:p>
        </w:tc>
        <w:tc>
          <w:tcPr>
            <w:tcW w:w="1265" w:type="dxa"/>
            <w:noWrap/>
          </w:tcPr>
          <w:p w:rsidRPr="0008778D" w:rsidR="00460701" w:rsidP="00A20750" w:rsidRDefault="00460701">
            <w:pPr>
              <w:jc w:val="center"/>
              <w:rPr>
                <w:rFonts w:ascii="Arial" w:hAnsi="Arial" w:eastAsia="Times New Roman" w:cs="Arial"/>
                <w:color w:val="000000"/>
                <w:sz w:val="24"/>
                <w:szCs w:val="28"/>
                <w:lang w:eastAsia="en-GB"/>
              </w:rPr>
            </w:pPr>
            <w:r w:rsidRPr="0008778D">
              <w:rPr>
                <w:rFonts w:ascii="Arial" w:hAnsi="Arial" w:eastAsia="Times New Roman" w:cs="Arial"/>
                <w:color w:val="000000"/>
                <w:sz w:val="24"/>
                <w:szCs w:val="28"/>
                <w:lang w:eastAsia="en-GB"/>
              </w:rPr>
              <w:t>-26.9%</w:t>
            </w:r>
          </w:p>
        </w:tc>
      </w:tr>
    </w:tbl>
    <w:p w:rsidR="00A20750" w:rsidP="00E84BB4" w:rsidRDefault="00A20750">
      <w:pPr>
        <w:ind w:left="2160" w:hanging="1800"/>
        <w:jc w:val="both"/>
        <w:rPr>
          <w:rFonts w:ascii="Arial" w:hAnsi="Arial" w:cs="Arial"/>
          <w:sz w:val="24"/>
          <w:szCs w:val="24"/>
        </w:rPr>
      </w:pPr>
    </w:p>
    <w:p w:rsidR="00E84BB4" w:rsidP="002F4498" w:rsidRDefault="001A1FF2">
      <w:pPr>
        <w:ind w:left="360"/>
        <w:rPr>
          <w:rFonts w:ascii="Arial" w:hAnsi="Arial" w:cs="Arial"/>
          <w:sz w:val="24"/>
          <w:szCs w:val="24"/>
        </w:rPr>
      </w:pPr>
      <w:r w:rsidRPr="001A1FF2">
        <w:rPr>
          <w:rFonts w:ascii="Arial" w:hAnsi="Arial" w:cs="Arial"/>
          <w:sz w:val="24"/>
          <w:szCs w:val="24"/>
        </w:rPr>
        <w:lastRenderedPageBreak/>
        <w:t xml:space="preserve">The </w:t>
      </w:r>
      <w:r>
        <w:rPr>
          <w:rFonts w:ascii="Arial" w:hAnsi="Arial" w:cs="Arial"/>
          <w:sz w:val="24"/>
          <w:szCs w:val="24"/>
        </w:rPr>
        <w:t>reduction</w:t>
      </w:r>
      <w:r w:rsidRPr="001A1FF2">
        <w:rPr>
          <w:rFonts w:ascii="Arial" w:hAnsi="Arial" w:cs="Arial"/>
          <w:sz w:val="24"/>
          <w:szCs w:val="24"/>
        </w:rPr>
        <w:t xml:space="preserve"> achieved in this period is slightly below the CMP 2015 target however</w:t>
      </w:r>
      <w:r>
        <w:rPr>
          <w:rFonts w:ascii="Arial" w:hAnsi="Arial" w:cs="Arial"/>
          <w:sz w:val="24"/>
          <w:szCs w:val="24"/>
        </w:rPr>
        <w:t xml:space="preserve"> </w:t>
      </w:r>
      <w:r w:rsidRPr="001A1FF2">
        <w:rPr>
          <w:rFonts w:ascii="Arial" w:hAnsi="Arial" w:cs="Arial"/>
          <w:sz w:val="24"/>
          <w:szCs w:val="24"/>
        </w:rPr>
        <w:t>when added to the CMP 201</w:t>
      </w:r>
      <w:r w:rsidR="006356C9">
        <w:rPr>
          <w:rFonts w:ascii="Arial" w:hAnsi="Arial" w:cs="Arial"/>
          <w:sz w:val="24"/>
          <w:szCs w:val="24"/>
        </w:rPr>
        <w:t>1</w:t>
      </w:r>
      <w:r w:rsidRPr="001A1FF2">
        <w:rPr>
          <w:rFonts w:ascii="Arial" w:hAnsi="Arial" w:cs="Arial"/>
          <w:sz w:val="24"/>
          <w:szCs w:val="24"/>
        </w:rPr>
        <w:t xml:space="preserve"> target</w:t>
      </w:r>
      <w:r>
        <w:rPr>
          <w:rFonts w:ascii="Arial" w:hAnsi="Arial" w:cs="Arial"/>
          <w:sz w:val="24"/>
          <w:szCs w:val="24"/>
        </w:rPr>
        <w:t>, the overall reduction of 47.9% exceeds the initial HEFCE target of 43%.</w:t>
      </w:r>
    </w:p>
    <w:p w:rsidR="001A1FF2" w:rsidP="002F4498" w:rsidRDefault="006356C9">
      <w:pPr>
        <w:ind w:left="360"/>
        <w:rPr>
          <w:rFonts w:ascii="Arial" w:hAnsi="Arial" w:cs="Arial"/>
          <w:sz w:val="24"/>
          <w:szCs w:val="24"/>
        </w:rPr>
      </w:pPr>
      <w:r>
        <w:rPr>
          <w:rFonts w:ascii="Arial" w:hAnsi="Arial" w:cs="Arial"/>
          <w:sz w:val="24"/>
          <w:szCs w:val="24"/>
        </w:rPr>
        <w:t>In the last couple of years, we have replaced boilers which improve efficiency and implemented other measures such as better heating controls, flow limiters on taps, replacement of draughty windows and continued roll out of energy efficient LED lighting.</w:t>
      </w:r>
    </w:p>
    <w:p w:rsidRPr="00630F5A" w:rsidR="001A1FF2" w:rsidP="00630F5A" w:rsidRDefault="001A1FF2">
      <w:pPr>
        <w:pStyle w:val="Heading2"/>
        <w:numPr>
          <w:ilvl w:val="0"/>
          <w:numId w:val="15"/>
        </w:numPr>
        <w:rPr>
          <w:rFonts w:ascii="Arial" w:hAnsi="Arial" w:cs="Arial"/>
          <w:b/>
          <w:color w:val="0070C0"/>
        </w:rPr>
      </w:pPr>
      <w:r w:rsidRPr="00630F5A">
        <w:rPr>
          <w:rFonts w:ascii="Arial" w:hAnsi="Arial" w:cs="Arial"/>
          <w:b/>
          <w:color w:val="0070C0"/>
        </w:rPr>
        <w:t>2020 Carbon Management Plan</w:t>
      </w:r>
    </w:p>
    <w:p w:rsidR="001A1FF2" w:rsidP="002F4498" w:rsidRDefault="00D410FD">
      <w:pPr>
        <w:ind w:left="360"/>
        <w:rPr>
          <w:rFonts w:ascii="Arial" w:hAnsi="Arial" w:cs="Arial"/>
          <w:sz w:val="24"/>
          <w:szCs w:val="24"/>
        </w:rPr>
      </w:pPr>
      <w:bookmarkStart w:name="_GoBack" w:id="0"/>
      <w:r>
        <w:rPr>
          <w:rFonts w:ascii="Arial" w:hAnsi="Arial" w:cs="Arial"/>
          <w:sz w:val="24"/>
          <w:szCs w:val="24"/>
        </w:rPr>
        <w:t xml:space="preserve">A new CMP covering the period up to 2025 is currently being drafted. This will have regard to </w:t>
      </w:r>
      <w:r w:rsidR="000F0548">
        <w:rPr>
          <w:rFonts w:ascii="Arial" w:hAnsi="Arial" w:cs="Arial"/>
          <w:sz w:val="24"/>
          <w:szCs w:val="24"/>
        </w:rPr>
        <w:t>our</w:t>
      </w:r>
      <w:r>
        <w:rPr>
          <w:rFonts w:ascii="Arial" w:hAnsi="Arial" w:cs="Arial"/>
          <w:sz w:val="24"/>
          <w:szCs w:val="24"/>
        </w:rPr>
        <w:t xml:space="preserve"> new Environment and Sustainability P</w:t>
      </w:r>
      <w:r w:rsidR="0008778D">
        <w:rPr>
          <w:rFonts w:ascii="Arial" w:hAnsi="Arial" w:cs="Arial"/>
          <w:sz w:val="24"/>
          <w:szCs w:val="24"/>
        </w:rPr>
        <w:t>olicy and Strategy</w:t>
      </w:r>
      <w:r>
        <w:rPr>
          <w:rFonts w:ascii="Arial" w:hAnsi="Arial" w:cs="Arial"/>
          <w:sz w:val="24"/>
          <w:szCs w:val="24"/>
        </w:rPr>
        <w:t>.</w:t>
      </w:r>
    </w:p>
    <w:p w:rsidR="000F0548" w:rsidP="002F4498" w:rsidRDefault="00D410FD">
      <w:pPr>
        <w:ind w:left="360"/>
        <w:rPr>
          <w:rFonts w:ascii="Arial" w:hAnsi="Arial" w:cs="Arial"/>
          <w:sz w:val="24"/>
          <w:szCs w:val="24"/>
        </w:rPr>
      </w:pPr>
      <w:r>
        <w:rPr>
          <w:rFonts w:ascii="Arial" w:hAnsi="Arial" w:cs="Arial"/>
          <w:sz w:val="24"/>
          <w:szCs w:val="24"/>
        </w:rPr>
        <w:t xml:space="preserve">We intend to widen the scope of reporting with greater focus on Scope 3 emissions in particular. A new target is being devised and this will be </w:t>
      </w:r>
      <w:r w:rsidR="000F0548">
        <w:rPr>
          <w:rFonts w:ascii="Arial" w:hAnsi="Arial" w:cs="Arial"/>
          <w:sz w:val="24"/>
          <w:szCs w:val="24"/>
        </w:rPr>
        <w:t>agreed with our senior management before the Summer of 2021</w:t>
      </w:r>
      <w:r>
        <w:rPr>
          <w:rFonts w:ascii="Arial" w:hAnsi="Arial" w:cs="Arial"/>
          <w:sz w:val="24"/>
          <w:szCs w:val="24"/>
        </w:rPr>
        <w:t>.</w:t>
      </w:r>
      <w:r w:rsidR="00460701">
        <w:rPr>
          <w:rFonts w:ascii="Arial" w:hAnsi="Arial" w:cs="Arial"/>
          <w:sz w:val="24"/>
          <w:szCs w:val="24"/>
        </w:rPr>
        <w:t xml:space="preserve"> </w:t>
      </w:r>
    </w:p>
    <w:bookmarkEnd w:id="0"/>
    <w:p w:rsidR="009A30F5" w:rsidP="009A30F5" w:rsidRDefault="009A30F5">
      <w:pPr>
        <w:spacing w:after="0" w:line="240" w:lineRule="auto"/>
        <w:jc w:val="both"/>
        <w:rPr>
          <w:rFonts w:ascii="Arial" w:hAnsi="Arial" w:cs="Arial"/>
          <w:sz w:val="24"/>
          <w:szCs w:val="24"/>
        </w:rPr>
      </w:pPr>
      <w:r>
        <w:rPr>
          <w:rFonts w:ascii="Arial" w:hAnsi="Arial" w:cs="Arial"/>
          <w:sz w:val="24"/>
          <w:szCs w:val="24"/>
        </w:rPr>
        <w:t>Chris Paget</w:t>
      </w:r>
    </w:p>
    <w:p w:rsidR="009A30F5" w:rsidP="009A30F5" w:rsidRDefault="009A30F5">
      <w:pPr>
        <w:spacing w:after="0" w:line="240" w:lineRule="auto"/>
        <w:jc w:val="both"/>
        <w:rPr>
          <w:rFonts w:ascii="Arial" w:hAnsi="Arial" w:cs="Arial"/>
          <w:sz w:val="24"/>
          <w:szCs w:val="24"/>
        </w:rPr>
      </w:pPr>
      <w:r>
        <w:rPr>
          <w:rFonts w:ascii="Arial" w:hAnsi="Arial" w:cs="Arial"/>
          <w:sz w:val="24"/>
          <w:szCs w:val="24"/>
        </w:rPr>
        <w:t>Director of Estates and Campus Services</w:t>
      </w:r>
    </w:p>
    <w:p w:rsidR="00F47011" w:rsidP="009A30F5" w:rsidRDefault="0008778D">
      <w:pPr>
        <w:spacing w:after="0" w:line="240" w:lineRule="auto"/>
        <w:jc w:val="both"/>
        <w:rPr>
          <w:rFonts w:ascii="Arial" w:hAnsi="Arial" w:cs="Arial"/>
          <w:sz w:val="24"/>
          <w:szCs w:val="24"/>
        </w:rPr>
      </w:pPr>
      <w:r>
        <w:rPr>
          <w:rFonts w:ascii="Arial" w:hAnsi="Arial" w:cs="Arial"/>
          <w:sz w:val="24"/>
          <w:szCs w:val="24"/>
        </w:rPr>
        <w:t>March</w:t>
      </w:r>
      <w:r w:rsidR="009A30F5">
        <w:rPr>
          <w:rFonts w:ascii="Arial" w:hAnsi="Arial" w:cs="Arial"/>
          <w:sz w:val="24"/>
          <w:szCs w:val="24"/>
        </w:rPr>
        <w:t xml:space="preserve"> 202</w:t>
      </w:r>
      <w:r w:rsidR="007D5E68">
        <w:rPr>
          <w:rFonts w:ascii="Arial" w:hAnsi="Arial" w:cs="Arial"/>
          <w:sz w:val="24"/>
          <w:szCs w:val="24"/>
        </w:rPr>
        <w:t>1</w:t>
      </w:r>
    </w:p>
    <w:p w:rsidR="00325FF9" w:rsidP="009A30F5" w:rsidRDefault="00325FF9">
      <w:pPr>
        <w:spacing w:after="0" w:line="240" w:lineRule="auto"/>
        <w:jc w:val="both"/>
        <w:rPr>
          <w:rFonts w:ascii="Arial" w:hAnsi="Arial" w:cs="Arial"/>
          <w:sz w:val="24"/>
          <w:szCs w:val="24"/>
        </w:rPr>
      </w:pPr>
    </w:p>
    <w:sectPr w:rsidR="00325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B64"/>
    <w:multiLevelType w:val="hybridMultilevel"/>
    <w:tmpl w:val="8B085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7026"/>
    <w:multiLevelType w:val="hybridMultilevel"/>
    <w:tmpl w:val="48D20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32B5F"/>
    <w:multiLevelType w:val="hybridMultilevel"/>
    <w:tmpl w:val="311C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84656"/>
    <w:multiLevelType w:val="hybridMultilevel"/>
    <w:tmpl w:val="EDD6E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6512EB"/>
    <w:multiLevelType w:val="hybridMultilevel"/>
    <w:tmpl w:val="EE20064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E26DA3"/>
    <w:multiLevelType w:val="hybridMultilevel"/>
    <w:tmpl w:val="9468F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3758A3"/>
    <w:multiLevelType w:val="hybridMultilevel"/>
    <w:tmpl w:val="3BE8A5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A783C"/>
    <w:multiLevelType w:val="hybridMultilevel"/>
    <w:tmpl w:val="AC92DC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176AB1"/>
    <w:multiLevelType w:val="hybridMultilevel"/>
    <w:tmpl w:val="88022A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13B21"/>
    <w:multiLevelType w:val="hybridMultilevel"/>
    <w:tmpl w:val="44CC9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192051"/>
    <w:multiLevelType w:val="hybridMultilevel"/>
    <w:tmpl w:val="FF7E2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AF54DD"/>
    <w:multiLevelType w:val="hybridMultilevel"/>
    <w:tmpl w:val="A6824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9E2BF0"/>
    <w:multiLevelType w:val="hybridMultilevel"/>
    <w:tmpl w:val="A734DF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C22CA6"/>
    <w:multiLevelType w:val="hybridMultilevel"/>
    <w:tmpl w:val="3872D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94A4C"/>
    <w:multiLevelType w:val="hybridMultilevel"/>
    <w:tmpl w:val="EE2007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1"/>
  </w:num>
  <w:num w:numId="5">
    <w:abstractNumId w:val="8"/>
  </w:num>
  <w:num w:numId="6">
    <w:abstractNumId w:val="7"/>
  </w:num>
  <w:num w:numId="7">
    <w:abstractNumId w:val="6"/>
  </w:num>
  <w:num w:numId="8">
    <w:abstractNumId w:val="3"/>
  </w:num>
  <w:num w:numId="9">
    <w:abstractNumId w:val="0"/>
  </w:num>
  <w:num w:numId="10">
    <w:abstractNumId w:val="14"/>
  </w:num>
  <w:num w:numId="11">
    <w:abstractNumId w:val="12"/>
  </w:num>
  <w:num w:numId="12">
    <w:abstractNumId w:val="1"/>
  </w:num>
  <w:num w:numId="13">
    <w:abstractNumId w:val="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05"/>
    <w:rsid w:val="00031E6E"/>
    <w:rsid w:val="00043456"/>
    <w:rsid w:val="00052359"/>
    <w:rsid w:val="00060B2E"/>
    <w:rsid w:val="0008778D"/>
    <w:rsid w:val="000F0548"/>
    <w:rsid w:val="000F62A0"/>
    <w:rsid w:val="001247F3"/>
    <w:rsid w:val="00144327"/>
    <w:rsid w:val="00181A42"/>
    <w:rsid w:val="001A1FF2"/>
    <w:rsid w:val="001D3731"/>
    <w:rsid w:val="001E4DF4"/>
    <w:rsid w:val="00210BA9"/>
    <w:rsid w:val="0027225C"/>
    <w:rsid w:val="002A1BA4"/>
    <w:rsid w:val="002F4498"/>
    <w:rsid w:val="00325FF9"/>
    <w:rsid w:val="0036493E"/>
    <w:rsid w:val="003775D5"/>
    <w:rsid w:val="00391F39"/>
    <w:rsid w:val="0039757F"/>
    <w:rsid w:val="003B4D2D"/>
    <w:rsid w:val="00453890"/>
    <w:rsid w:val="00460701"/>
    <w:rsid w:val="004659D8"/>
    <w:rsid w:val="0047219D"/>
    <w:rsid w:val="004E6DC5"/>
    <w:rsid w:val="004F068F"/>
    <w:rsid w:val="004F78A1"/>
    <w:rsid w:val="0051024D"/>
    <w:rsid w:val="005417E1"/>
    <w:rsid w:val="005A19C9"/>
    <w:rsid w:val="005F6CD6"/>
    <w:rsid w:val="00630F5A"/>
    <w:rsid w:val="006356C9"/>
    <w:rsid w:val="00647A7F"/>
    <w:rsid w:val="006B6A40"/>
    <w:rsid w:val="00702D05"/>
    <w:rsid w:val="00745074"/>
    <w:rsid w:val="007D5E68"/>
    <w:rsid w:val="0082054E"/>
    <w:rsid w:val="008307C9"/>
    <w:rsid w:val="00833176"/>
    <w:rsid w:val="00860A0B"/>
    <w:rsid w:val="008A3AA4"/>
    <w:rsid w:val="008D4C5E"/>
    <w:rsid w:val="008F50B5"/>
    <w:rsid w:val="009113D6"/>
    <w:rsid w:val="009A30F5"/>
    <w:rsid w:val="009D3AD3"/>
    <w:rsid w:val="009E22B1"/>
    <w:rsid w:val="009E7623"/>
    <w:rsid w:val="00A20750"/>
    <w:rsid w:val="00A31C1F"/>
    <w:rsid w:val="00A4014E"/>
    <w:rsid w:val="00A45F73"/>
    <w:rsid w:val="00AC5007"/>
    <w:rsid w:val="00AE307D"/>
    <w:rsid w:val="00AF6B36"/>
    <w:rsid w:val="00B039B6"/>
    <w:rsid w:val="00B93936"/>
    <w:rsid w:val="00BA1AEB"/>
    <w:rsid w:val="00BD7F5D"/>
    <w:rsid w:val="00BE62BA"/>
    <w:rsid w:val="00C1081B"/>
    <w:rsid w:val="00C20A8C"/>
    <w:rsid w:val="00C50C14"/>
    <w:rsid w:val="00C53F1F"/>
    <w:rsid w:val="00C96367"/>
    <w:rsid w:val="00CB0684"/>
    <w:rsid w:val="00CB463C"/>
    <w:rsid w:val="00CC52A3"/>
    <w:rsid w:val="00CF4AA8"/>
    <w:rsid w:val="00D12857"/>
    <w:rsid w:val="00D2311C"/>
    <w:rsid w:val="00D410FD"/>
    <w:rsid w:val="00D64D51"/>
    <w:rsid w:val="00D7229B"/>
    <w:rsid w:val="00D92D76"/>
    <w:rsid w:val="00DB6DFB"/>
    <w:rsid w:val="00E84BB4"/>
    <w:rsid w:val="00E86190"/>
    <w:rsid w:val="00F42A56"/>
    <w:rsid w:val="00F47011"/>
    <w:rsid w:val="00F528B7"/>
    <w:rsid w:val="00FC45AB"/>
    <w:rsid w:val="00FC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F513"/>
  <w15:chartTrackingRefBased/>
  <w15:docId w15:val="{BC01E58F-A8CD-484F-A922-A871AB24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7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9C9"/>
    <w:pPr>
      <w:ind w:left="720"/>
      <w:contextualSpacing/>
    </w:pPr>
  </w:style>
  <w:style w:type="table" w:styleId="TableGrid">
    <w:name w:val="Table Grid"/>
    <w:basedOn w:val="TableNormal"/>
    <w:uiPriority w:val="39"/>
    <w:rsid w:val="0037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4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DF4"/>
    <w:rPr>
      <w:rFonts w:ascii="Segoe UI" w:hAnsi="Segoe UI" w:cs="Segoe UI"/>
      <w:sz w:val="18"/>
      <w:szCs w:val="18"/>
    </w:rPr>
  </w:style>
  <w:style w:type="character" w:styleId="CommentReference">
    <w:name w:val="annotation reference"/>
    <w:basedOn w:val="DefaultParagraphFont"/>
    <w:uiPriority w:val="99"/>
    <w:semiHidden/>
    <w:unhideWhenUsed/>
    <w:rsid w:val="008F50B5"/>
    <w:rPr>
      <w:sz w:val="16"/>
      <w:szCs w:val="16"/>
    </w:rPr>
  </w:style>
  <w:style w:type="paragraph" w:styleId="CommentText">
    <w:name w:val="annotation text"/>
    <w:basedOn w:val="Normal"/>
    <w:link w:val="CommentTextChar"/>
    <w:uiPriority w:val="99"/>
    <w:semiHidden/>
    <w:unhideWhenUsed/>
    <w:rsid w:val="008F50B5"/>
    <w:pPr>
      <w:spacing w:line="240" w:lineRule="auto"/>
    </w:pPr>
    <w:rPr>
      <w:sz w:val="20"/>
      <w:szCs w:val="20"/>
    </w:rPr>
  </w:style>
  <w:style w:type="character" w:customStyle="1" w:styleId="CommentTextChar">
    <w:name w:val="Comment Text Char"/>
    <w:basedOn w:val="DefaultParagraphFont"/>
    <w:link w:val="CommentText"/>
    <w:uiPriority w:val="99"/>
    <w:semiHidden/>
    <w:rsid w:val="008F50B5"/>
    <w:rPr>
      <w:sz w:val="20"/>
      <w:szCs w:val="20"/>
    </w:rPr>
  </w:style>
  <w:style w:type="paragraph" w:styleId="CommentSubject">
    <w:name w:val="annotation subject"/>
    <w:basedOn w:val="CommentText"/>
    <w:next w:val="CommentText"/>
    <w:link w:val="CommentSubjectChar"/>
    <w:uiPriority w:val="99"/>
    <w:semiHidden/>
    <w:unhideWhenUsed/>
    <w:rsid w:val="008F50B5"/>
    <w:rPr>
      <w:b/>
      <w:bCs/>
    </w:rPr>
  </w:style>
  <w:style w:type="character" w:customStyle="1" w:styleId="CommentSubjectChar">
    <w:name w:val="Comment Subject Char"/>
    <w:basedOn w:val="CommentTextChar"/>
    <w:link w:val="CommentSubject"/>
    <w:uiPriority w:val="99"/>
    <w:semiHidden/>
    <w:rsid w:val="008F50B5"/>
    <w:rPr>
      <w:b/>
      <w:bCs/>
      <w:sz w:val="20"/>
      <w:szCs w:val="20"/>
    </w:rPr>
  </w:style>
  <w:style w:type="character" w:customStyle="1" w:styleId="Heading1Char">
    <w:name w:val="Heading 1 Char"/>
    <w:basedOn w:val="DefaultParagraphFont"/>
    <w:link w:val="Heading1"/>
    <w:uiPriority w:val="9"/>
    <w:rsid w:val="005417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0F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735677">
      <w:bodyDiv w:val="1"/>
      <w:marLeft w:val="0"/>
      <w:marRight w:val="0"/>
      <w:marTop w:val="0"/>
      <w:marBottom w:val="0"/>
      <w:divBdr>
        <w:top w:val="none" w:sz="0" w:space="0" w:color="auto"/>
        <w:left w:val="none" w:sz="0" w:space="0" w:color="auto"/>
        <w:bottom w:val="none" w:sz="0" w:space="0" w:color="auto"/>
        <w:right w:val="none" w:sz="0" w:space="0" w:color="auto"/>
      </w:divBdr>
    </w:div>
    <w:div w:id="21087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2021-mar-carbon-management-plan</dc:title>
  <dc:subject>Download the St Mary's University Carbon Management Plan</dc:subject>
  <dc:creator>Gavin Hindley</dc:creator>
  <cp:keywords>
  </cp:keywords>
  <dc:description>
  </dc:description>
  <cp:lastModifiedBy>James Peach</cp:lastModifiedBy>
  <cp:revision>7</cp:revision>
  <dcterms:created xsi:type="dcterms:W3CDTF">2021-03-18T10:08:00Z</dcterms:created>
  <dcterms:modified xsi:type="dcterms:W3CDTF">2021-03-23T08:39:18Z</dcterms:modified>
</cp:coreProperties>
</file>