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F31" w:rsidP="001D75E1" w:rsidRDefault="00533F31" w14:paraId="2CC3592F" w14:textId="41CB50A4">
      <w:pPr>
        <w:pStyle w:val="Heading1"/>
        <w:rPr>
          <w:rFonts w:ascii="Helvetica" w:hAnsi="Helvetica" w:cs="Arial"/>
          <w:color w:val="000000" w:themeColor="text1"/>
          <w:sz w:val="22"/>
          <w:szCs w:val="22"/>
        </w:rPr>
      </w:pPr>
      <w:r>
        <w:rPr>
          <w:noProof/>
        </w:rPr>
        <w:drawing>
          <wp:anchor distT="0" distB="0" distL="114300" distR="114300" simplePos="0" relativeHeight="251659264" behindDoc="1" locked="0" layoutInCell="1" allowOverlap="1" wp14:editId="76679CA1" wp14:anchorId="2FE16EE2">
            <wp:simplePos x="0" y="0"/>
            <wp:positionH relativeFrom="column">
              <wp:posOffset>0</wp:posOffset>
            </wp:positionH>
            <wp:positionV relativeFrom="paragraph">
              <wp:posOffset>342900</wp:posOffset>
            </wp:positionV>
            <wp:extent cx="2548255" cy="1276985"/>
            <wp:effectExtent l="0" t="0" r="4445" b="0"/>
            <wp:wrapTight wrapText="bothSides">
              <wp:wrapPolygon edited="0">
                <wp:start x="0" y="0"/>
                <wp:lineTo x="0" y="21267"/>
                <wp:lineTo x="21476" y="21267"/>
                <wp:lineTo x="214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8255" cy="1276985"/>
                    </a:xfrm>
                    <a:prstGeom prst="rect">
                      <a:avLst/>
                    </a:prstGeom>
                    <a:noFill/>
                  </pic:spPr>
                </pic:pic>
              </a:graphicData>
            </a:graphic>
            <wp14:sizeRelH relativeFrom="page">
              <wp14:pctWidth>0</wp14:pctWidth>
            </wp14:sizeRelH>
            <wp14:sizeRelV relativeFrom="page">
              <wp14:pctHeight>0</wp14:pctHeight>
            </wp14:sizeRelV>
          </wp:anchor>
        </w:drawing>
      </w:r>
    </w:p>
    <w:p w:rsidR="00533F31" w:rsidP="001D75E1" w:rsidRDefault="00533F31" w14:paraId="2749BADC" w14:textId="77777777">
      <w:pPr>
        <w:pStyle w:val="Heading1"/>
        <w:rPr>
          <w:rFonts w:ascii="Helvetica" w:hAnsi="Helvetica" w:cs="Arial"/>
          <w:color w:val="000000" w:themeColor="text1"/>
          <w:sz w:val="22"/>
          <w:szCs w:val="22"/>
        </w:rPr>
      </w:pPr>
    </w:p>
    <w:p w:rsidR="00533F31" w:rsidP="001D75E1" w:rsidRDefault="00533F31" w14:paraId="52EC7F6D" w14:textId="77777777">
      <w:pPr>
        <w:pStyle w:val="Heading1"/>
        <w:rPr>
          <w:rFonts w:ascii="Helvetica" w:hAnsi="Helvetica" w:cs="Arial"/>
          <w:color w:val="000000" w:themeColor="text1"/>
          <w:sz w:val="22"/>
          <w:szCs w:val="22"/>
        </w:rPr>
      </w:pPr>
    </w:p>
    <w:p w:rsidR="00533F31" w:rsidP="001D75E1" w:rsidRDefault="00533F31" w14:paraId="43BC3AFA" w14:textId="77777777">
      <w:pPr>
        <w:pStyle w:val="Heading1"/>
        <w:rPr>
          <w:rFonts w:ascii="Helvetica" w:hAnsi="Helvetica" w:cs="Arial"/>
          <w:color w:val="000000" w:themeColor="text1"/>
          <w:sz w:val="22"/>
          <w:szCs w:val="22"/>
        </w:rPr>
      </w:pPr>
    </w:p>
    <w:p w:rsidR="00533F31" w:rsidP="001D75E1" w:rsidRDefault="00533F31" w14:paraId="5DAF98AC" w14:textId="77777777">
      <w:pPr>
        <w:pStyle w:val="Heading1"/>
        <w:rPr>
          <w:rFonts w:ascii="Helvetica" w:hAnsi="Helvetica" w:cs="Arial"/>
          <w:color w:val="000000" w:themeColor="text1"/>
          <w:sz w:val="22"/>
          <w:szCs w:val="22"/>
        </w:rPr>
      </w:pPr>
    </w:p>
    <w:p w:rsidRPr="00533F31" w:rsidR="001D75E1" w:rsidP="001D75E1" w:rsidRDefault="001D75E1" w14:paraId="5D601C24" w14:textId="272F53D3">
      <w:pPr>
        <w:pStyle w:val="Heading1"/>
        <w:rPr>
          <w:rFonts w:ascii="Helvetica" w:hAnsi="Helvetica" w:cs="Arial"/>
          <w:color w:val="000000" w:themeColor="text1"/>
          <w:sz w:val="22"/>
          <w:szCs w:val="22"/>
        </w:rPr>
      </w:pPr>
      <w:r w:rsidRPr="00533F31">
        <w:rPr>
          <w:rFonts w:ascii="Helvetica" w:hAnsi="Helvetica" w:cs="Arial"/>
          <w:color w:val="000000" w:themeColor="text1"/>
          <w:sz w:val="22"/>
          <w:szCs w:val="22"/>
        </w:rPr>
        <w:t xml:space="preserve">Fit Notes </w:t>
      </w:r>
      <w:r w:rsidR="00533F31">
        <w:rPr>
          <w:rFonts w:ascii="Helvetica" w:hAnsi="Helvetica" w:cs="Arial"/>
          <w:color w:val="000000" w:themeColor="text1"/>
          <w:sz w:val="22"/>
          <w:szCs w:val="22"/>
        </w:rPr>
        <w:t>–</w:t>
      </w:r>
      <w:r w:rsidRPr="00533F31">
        <w:rPr>
          <w:rFonts w:ascii="Helvetica" w:hAnsi="Helvetica" w:cs="Arial"/>
          <w:color w:val="000000" w:themeColor="text1"/>
          <w:sz w:val="22"/>
          <w:szCs w:val="22"/>
        </w:rPr>
        <w:t xml:space="preserve"> </w:t>
      </w:r>
      <w:r w:rsidR="00533F31">
        <w:rPr>
          <w:rFonts w:ascii="Helvetica" w:hAnsi="Helvetica" w:cs="Arial"/>
          <w:color w:val="000000" w:themeColor="text1"/>
          <w:sz w:val="22"/>
          <w:szCs w:val="22"/>
        </w:rPr>
        <w:t xml:space="preserve">Guidance </w:t>
      </w:r>
    </w:p>
    <w:p w:rsidRPr="00533F31" w:rsidR="001D75E1" w:rsidP="001D75E1" w:rsidRDefault="00697B9B" w14:paraId="5D601C25" w14:textId="6ECF3E0A">
      <w:pPr>
        <w:pStyle w:val="Heading2"/>
        <w:rPr>
          <w:rFonts w:ascii="Helvetica" w:hAnsi="Helvetica" w:cs="Arial"/>
          <w:color w:val="000000" w:themeColor="text1"/>
          <w:sz w:val="22"/>
          <w:szCs w:val="22"/>
        </w:rPr>
      </w:pPr>
      <w:r>
        <w:rPr>
          <w:rFonts w:ascii="Helvetica" w:hAnsi="Helvetica" w:cs="Arial"/>
          <w:color w:val="000000" w:themeColor="text1"/>
          <w:sz w:val="22"/>
          <w:szCs w:val="22"/>
        </w:rPr>
        <w:t>What is a ‘</w:t>
      </w:r>
      <w:r w:rsidR="00C83471">
        <w:rPr>
          <w:rFonts w:ascii="Helvetica" w:hAnsi="Helvetica" w:cs="Arial"/>
          <w:color w:val="000000" w:themeColor="text1"/>
          <w:sz w:val="22"/>
          <w:szCs w:val="22"/>
        </w:rPr>
        <w:t>Fit</w:t>
      </w:r>
      <w:r>
        <w:rPr>
          <w:rFonts w:ascii="Helvetica" w:hAnsi="Helvetica" w:cs="Arial"/>
          <w:color w:val="000000" w:themeColor="text1"/>
          <w:sz w:val="22"/>
          <w:szCs w:val="22"/>
        </w:rPr>
        <w:t xml:space="preserve"> Note’</w:t>
      </w:r>
    </w:p>
    <w:p w:rsidRPr="00533F31" w:rsidR="001D75E1" w:rsidP="001D75E1" w:rsidRDefault="001D75E1" w14:paraId="5D601C26" w14:textId="77777777">
      <w:pPr>
        <w:pStyle w:val="NormalWeb"/>
        <w:rPr>
          <w:rFonts w:ascii="Helvetica" w:hAnsi="Helvetica"/>
          <w:color w:val="000000" w:themeColor="text1"/>
          <w:sz w:val="22"/>
          <w:szCs w:val="22"/>
        </w:rPr>
      </w:pPr>
      <w:r w:rsidRPr="00533F31">
        <w:rPr>
          <w:rFonts w:ascii="Helvetica" w:hAnsi="Helvetica"/>
          <w:color w:val="000000" w:themeColor="text1"/>
          <w:sz w:val="22"/>
          <w:szCs w:val="22"/>
        </w:rPr>
        <w:t>This is to enable people with a medical condition to return to work with suitable support from their employer rather than simply being signed off sick for an extensive period when, in some cases, staff can continue to work as they recover from their condition.</w:t>
      </w:r>
    </w:p>
    <w:p w:rsidRPr="00533F31" w:rsidR="001D75E1" w:rsidP="001D75E1" w:rsidRDefault="001D75E1" w14:paraId="5D601C27" w14:textId="16D84A49">
      <w:pPr>
        <w:pStyle w:val="NormalWeb"/>
        <w:rPr>
          <w:rFonts w:ascii="Helvetica" w:hAnsi="Helvetica"/>
          <w:color w:val="000000" w:themeColor="text1"/>
          <w:sz w:val="22"/>
          <w:szCs w:val="22"/>
        </w:rPr>
      </w:pPr>
      <w:r w:rsidRPr="00533F31">
        <w:rPr>
          <w:rFonts w:ascii="Helvetica" w:hAnsi="Helvetica"/>
          <w:color w:val="000000" w:themeColor="text1"/>
          <w:sz w:val="22"/>
          <w:szCs w:val="22"/>
        </w:rPr>
        <w:t>The ‘sick note’ or doctor’s medical certificate/statement replaced by the ‘Statement of Fitness for Work’ ('fit note') with effect from 6 April 2010.</w:t>
      </w:r>
    </w:p>
    <w:p w:rsidRPr="00533F31" w:rsidR="001D75E1" w:rsidP="001D75E1" w:rsidRDefault="00C81D27" w14:paraId="5D601C28" w14:textId="77777777">
      <w:pPr>
        <w:pStyle w:val="NormalWeb"/>
        <w:rPr>
          <w:rFonts w:ascii="Helvetica" w:hAnsi="Helvetica"/>
          <w:color w:val="000000" w:themeColor="text1"/>
          <w:sz w:val="22"/>
          <w:szCs w:val="22"/>
        </w:rPr>
      </w:pPr>
      <w:hyperlink w:tgtFrame="_blank" w:history="1" r:id="rId6">
        <w:r w:rsidRPr="00533F31" w:rsidR="001D75E1">
          <w:rPr>
            <w:rStyle w:val="Hyperlink"/>
            <w:rFonts w:ascii="Helvetica" w:hAnsi="Helvetica"/>
            <w:color w:val="000000" w:themeColor="text1"/>
            <w:sz w:val="22"/>
            <w:szCs w:val="22"/>
          </w:rPr>
          <w:t>Sample of fit note</w:t>
        </w:r>
      </w:hyperlink>
    </w:p>
    <w:p w:rsidRPr="00533F31" w:rsidR="001D75E1" w:rsidP="001D75E1" w:rsidRDefault="001D75E1" w14:paraId="5D601C2B" w14:textId="51B07659">
      <w:pPr>
        <w:pStyle w:val="NormalWeb"/>
        <w:rPr>
          <w:rFonts w:ascii="Helvetica" w:hAnsi="Helvetica"/>
          <w:color w:val="000000" w:themeColor="text1"/>
          <w:sz w:val="22"/>
          <w:szCs w:val="22"/>
        </w:rPr>
      </w:pPr>
      <w:r w:rsidRPr="00533F31">
        <w:rPr>
          <w:rFonts w:ascii="Helvetica" w:hAnsi="Helvetica"/>
          <w:color w:val="000000" w:themeColor="text1"/>
          <w:sz w:val="22"/>
          <w:szCs w:val="22"/>
        </w:rPr>
        <w:t>The GP will be able to make suggestions</w:t>
      </w:r>
      <w:r w:rsidR="006E4963">
        <w:rPr>
          <w:rFonts w:ascii="Helvetica" w:hAnsi="Helvetica"/>
          <w:color w:val="000000" w:themeColor="text1"/>
          <w:sz w:val="22"/>
          <w:szCs w:val="22"/>
        </w:rPr>
        <w:t xml:space="preserve"> on the fit note</w:t>
      </w:r>
      <w:r w:rsidRPr="00533F31">
        <w:rPr>
          <w:rFonts w:ascii="Helvetica" w:hAnsi="Helvetica"/>
          <w:color w:val="000000" w:themeColor="text1"/>
          <w:sz w:val="22"/>
          <w:szCs w:val="22"/>
        </w:rPr>
        <w:t xml:space="preserve"> that could facilitate the person returning to work rather than issuing a certificate for sickness absence. </w:t>
      </w:r>
      <w:proofErr w:type="gramStart"/>
      <w:r w:rsidRPr="00533F31">
        <w:rPr>
          <w:rFonts w:ascii="Helvetica" w:hAnsi="Helvetica"/>
          <w:color w:val="000000" w:themeColor="text1"/>
          <w:sz w:val="22"/>
          <w:szCs w:val="22"/>
        </w:rPr>
        <w:t>So</w:t>
      </w:r>
      <w:proofErr w:type="gramEnd"/>
      <w:r w:rsidRPr="00533F31">
        <w:rPr>
          <w:rFonts w:ascii="Helvetica" w:hAnsi="Helvetica"/>
          <w:color w:val="000000" w:themeColor="text1"/>
          <w:sz w:val="22"/>
          <w:szCs w:val="22"/>
        </w:rPr>
        <w:t xml:space="preserve"> the fit note will either state the person is either:</w:t>
      </w:r>
    </w:p>
    <w:p w:rsidRPr="00533F31" w:rsidR="001D75E1" w:rsidP="001D75E1" w:rsidRDefault="001D75E1" w14:paraId="5D601C2C" w14:textId="77777777">
      <w:pPr>
        <w:numPr>
          <w:ilvl w:val="0"/>
          <w:numId w:val="4"/>
        </w:numPr>
        <w:spacing w:before="100" w:beforeAutospacing="1" w:after="100" w:afterAutospacing="1" w:line="240" w:lineRule="auto"/>
        <w:rPr>
          <w:rFonts w:ascii="Helvetica" w:hAnsi="Helvetica"/>
          <w:color w:val="000000" w:themeColor="text1"/>
        </w:rPr>
      </w:pPr>
      <w:r w:rsidRPr="00533F31">
        <w:rPr>
          <w:rFonts w:ascii="Helvetica" w:hAnsi="Helvetica"/>
          <w:color w:val="000000" w:themeColor="text1"/>
        </w:rPr>
        <w:t>unfit for work; or</w:t>
      </w:r>
    </w:p>
    <w:p w:rsidRPr="00533F31" w:rsidR="001D75E1" w:rsidP="001D75E1" w:rsidRDefault="001D75E1" w14:paraId="5D601C2D" w14:textId="77777777">
      <w:pPr>
        <w:numPr>
          <w:ilvl w:val="0"/>
          <w:numId w:val="4"/>
        </w:numPr>
        <w:spacing w:before="100" w:beforeAutospacing="1" w:after="100" w:afterAutospacing="1" w:line="240" w:lineRule="auto"/>
        <w:rPr>
          <w:rFonts w:ascii="Helvetica" w:hAnsi="Helvetica"/>
          <w:color w:val="000000" w:themeColor="text1"/>
        </w:rPr>
      </w:pPr>
      <w:r w:rsidRPr="00533F31">
        <w:rPr>
          <w:rFonts w:ascii="Helvetica" w:hAnsi="Helvetica"/>
          <w:color w:val="000000" w:themeColor="text1"/>
        </w:rPr>
        <w:t>may be fit for work.</w:t>
      </w:r>
    </w:p>
    <w:p w:rsidRPr="00533F31" w:rsidR="001D75E1" w:rsidP="001D75E1" w:rsidRDefault="001D75E1" w14:paraId="5D601C2E" w14:textId="2F94B2D7">
      <w:pPr>
        <w:pStyle w:val="NormalWeb"/>
        <w:rPr>
          <w:rFonts w:ascii="Helvetica" w:hAnsi="Helvetica"/>
          <w:color w:val="000000" w:themeColor="text1"/>
          <w:sz w:val="22"/>
          <w:szCs w:val="22"/>
        </w:rPr>
      </w:pPr>
      <w:r w:rsidRPr="00533F31">
        <w:rPr>
          <w:rFonts w:ascii="Helvetica" w:hAnsi="Helvetica"/>
          <w:color w:val="000000" w:themeColor="text1"/>
          <w:sz w:val="22"/>
          <w:szCs w:val="22"/>
        </w:rPr>
        <w:t xml:space="preserve">If the member of staff is unable to work, the </w:t>
      </w:r>
      <w:r w:rsidR="00EF6973">
        <w:rPr>
          <w:rFonts w:ascii="Helvetica" w:hAnsi="Helvetica"/>
          <w:color w:val="000000" w:themeColor="text1"/>
          <w:sz w:val="22"/>
          <w:szCs w:val="22"/>
        </w:rPr>
        <w:t>GP</w:t>
      </w:r>
      <w:r w:rsidRPr="00533F31">
        <w:rPr>
          <w:rFonts w:ascii="Helvetica" w:hAnsi="Helvetica"/>
          <w:color w:val="000000" w:themeColor="text1"/>
          <w:sz w:val="22"/>
          <w:szCs w:val="22"/>
        </w:rPr>
        <w:t xml:space="preserve"> will state this on the form and provide a date or period of time that they should remain away from work. However, if the </w:t>
      </w:r>
      <w:r w:rsidR="00EF6973">
        <w:rPr>
          <w:rFonts w:ascii="Helvetica" w:hAnsi="Helvetica"/>
          <w:color w:val="000000" w:themeColor="text1"/>
          <w:sz w:val="22"/>
          <w:szCs w:val="22"/>
        </w:rPr>
        <w:t>GP</w:t>
      </w:r>
      <w:r w:rsidRPr="00533F31">
        <w:rPr>
          <w:rFonts w:ascii="Helvetica" w:hAnsi="Helvetica"/>
          <w:color w:val="000000" w:themeColor="text1"/>
          <w:sz w:val="22"/>
          <w:szCs w:val="22"/>
        </w:rPr>
        <w:t xml:space="preserve"> feels the person could do some work depending upon their health condition they will confirm this as ‘may be fit for work’.</w:t>
      </w:r>
    </w:p>
    <w:p w:rsidRPr="00533F31" w:rsidR="001D75E1" w:rsidP="001D75E1" w:rsidRDefault="001D75E1" w14:paraId="5D601C2F" w14:textId="77777777">
      <w:pPr>
        <w:pStyle w:val="NormalWeb"/>
        <w:rPr>
          <w:rFonts w:ascii="Helvetica" w:hAnsi="Helvetica"/>
          <w:color w:val="000000" w:themeColor="text1"/>
          <w:sz w:val="22"/>
          <w:szCs w:val="22"/>
        </w:rPr>
      </w:pPr>
      <w:r w:rsidRPr="00533F31">
        <w:rPr>
          <w:rFonts w:ascii="Helvetica" w:hAnsi="Helvetica"/>
          <w:color w:val="000000" w:themeColor="text1"/>
          <w:sz w:val="22"/>
          <w:szCs w:val="22"/>
        </w:rPr>
        <w:t>This could be through a:</w:t>
      </w:r>
    </w:p>
    <w:p w:rsidRPr="00533F31" w:rsidR="001D75E1" w:rsidP="001D75E1" w:rsidRDefault="001D75E1" w14:paraId="5D601C30" w14:textId="77777777">
      <w:pPr>
        <w:numPr>
          <w:ilvl w:val="0"/>
          <w:numId w:val="5"/>
        </w:numPr>
        <w:spacing w:before="100" w:beforeAutospacing="1" w:after="100" w:afterAutospacing="1" w:line="240" w:lineRule="auto"/>
        <w:rPr>
          <w:rFonts w:ascii="Helvetica" w:hAnsi="Helvetica"/>
          <w:color w:val="000000" w:themeColor="text1"/>
        </w:rPr>
      </w:pPr>
      <w:r w:rsidRPr="00533F31">
        <w:rPr>
          <w:rFonts w:ascii="Helvetica" w:hAnsi="Helvetica"/>
          <w:color w:val="000000" w:themeColor="text1"/>
        </w:rPr>
        <w:t>phased return to work</w:t>
      </w:r>
    </w:p>
    <w:p w:rsidRPr="00533F31" w:rsidR="001D75E1" w:rsidP="001D75E1" w:rsidRDefault="001D75E1" w14:paraId="5D601C31" w14:textId="77777777">
      <w:pPr>
        <w:numPr>
          <w:ilvl w:val="0"/>
          <w:numId w:val="5"/>
        </w:numPr>
        <w:spacing w:before="100" w:beforeAutospacing="1" w:after="100" w:afterAutospacing="1" w:line="240" w:lineRule="auto"/>
        <w:rPr>
          <w:rFonts w:ascii="Helvetica" w:hAnsi="Helvetica"/>
          <w:color w:val="000000" w:themeColor="text1"/>
        </w:rPr>
      </w:pPr>
      <w:r w:rsidRPr="00533F31">
        <w:rPr>
          <w:rFonts w:ascii="Helvetica" w:hAnsi="Helvetica"/>
          <w:color w:val="000000" w:themeColor="text1"/>
        </w:rPr>
        <w:t>flexible working</w:t>
      </w:r>
    </w:p>
    <w:p w:rsidRPr="00533F31" w:rsidR="001D75E1" w:rsidP="001D75E1" w:rsidRDefault="001D75E1" w14:paraId="5D601C32" w14:textId="77777777">
      <w:pPr>
        <w:numPr>
          <w:ilvl w:val="0"/>
          <w:numId w:val="5"/>
        </w:numPr>
        <w:spacing w:before="100" w:beforeAutospacing="1" w:after="100" w:afterAutospacing="1" w:line="240" w:lineRule="auto"/>
        <w:rPr>
          <w:rFonts w:ascii="Helvetica" w:hAnsi="Helvetica"/>
          <w:color w:val="000000" w:themeColor="text1"/>
        </w:rPr>
      </w:pPr>
      <w:r w:rsidRPr="00533F31">
        <w:rPr>
          <w:rFonts w:ascii="Helvetica" w:hAnsi="Helvetica"/>
          <w:color w:val="000000" w:themeColor="text1"/>
        </w:rPr>
        <w:t>amended duties</w:t>
      </w:r>
    </w:p>
    <w:p w:rsidRPr="00533F31" w:rsidR="001D75E1" w:rsidP="001D75E1" w:rsidRDefault="001D75E1" w14:paraId="5D601C33" w14:textId="77777777">
      <w:pPr>
        <w:numPr>
          <w:ilvl w:val="0"/>
          <w:numId w:val="5"/>
        </w:numPr>
        <w:spacing w:before="100" w:beforeAutospacing="1" w:after="100" w:afterAutospacing="1" w:line="240" w:lineRule="auto"/>
        <w:rPr>
          <w:rFonts w:ascii="Helvetica" w:hAnsi="Helvetica"/>
          <w:color w:val="000000" w:themeColor="text1"/>
        </w:rPr>
      </w:pPr>
      <w:r w:rsidRPr="00533F31">
        <w:rPr>
          <w:rFonts w:ascii="Helvetica" w:hAnsi="Helvetica"/>
          <w:color w:val="000000" w:themeColor="text1"/>
        </w:rPr>
        <w:t>workplace adaptations.</w:t>
      </w:r>
    </w:p>
    <w:p w:rsidRPr="00533F31" w:rsidR="001D75E1" w:rsidP="001D75E1" w:rsidRDefault="001D75E1" w14:paraId="5D601C34" w14:textId="77777777">
      <w:pPr>
        <w:pStyle w:val="NormalWeb"/>
        <w:rPr>
          <w:rFonts w:ascii="Helvetica" w:hAnsi="Helvetica"/>
          <w:color w:val="000000" w:themeColor="text1"/>
          <w:sz w:val="22"/>
          <w:szCs w:val="22"/>
        </w:rPr>
      </w:pPr>
      <w:r w:rsidRPr="00533F31">
        <w:rPr>
          <w:rFonts w:ascii="Helvetica" w:hAnsi="Helvetica"/>
          <w:color w:val="000000" w:themeColor="text1"/>
          <w:sz w:val="22"/>
          <w:szCs w:val="22"/>
        </w:rPr>
        <w:t>The GP will also provide general details of the functional effect of the individual's condition and may advise that an occupational health report is sought to facilitate a return. The advice given by the GP is not binding on the employer but is a suggestion of what, in their medical opinion, may help the person to return to work.</w:t>
      </w:r>
    </w:p>
    <w:p w:rsidRPr="00533F31" w:rsidR="001D75E1" w:rsidP="001D75E1" w:rsidRDefault="001D75E1" w14:paraId="5D601C35" w14:textId="77777777">
      <w:pPr>
        <w:pStyle w:val="NormalWeb"/>
        <w:rPr>
          <w:rFonts w:ascii="Helvetica" w:hAnsi="Helvetica"/>
          <w:color w:val="000000" w:themeColor="text1"/>
          <w:sz w:val="22"/>
          <w:szCs w:val="22"/>
        </w:rPr>
      </w:pPr>
      <w:r w:rsidRPr="00533F31">
        <w:rPr>
          <w:rFonts w:ascii="Helvetica" w:hAnsi="Helvetica"/>
          <w:color w:val="000000" w:themeColor="text1"/>
          <w:sz w:val="22"/>
          <w:szCs w:val="22"/>
        </w:rPr>
        <w:t>Managers are responsible for considering whether the suggestions may be accommodated and should seek advice from Human Resources. If there are concerns about accommodating a suggestion made by the GP, we would need to discuss this with the individual, carry out a health and safety risk assessment and may need to seek further medical advice</w:t>
      </w:r>
    </w:p>
    <w:p w:rsidRPr="00533F31" w:rsidR="001D75E1" w:rsidP="001D75E1" w:rsidRDefault="001D75E1" w14:paraId="5D601C36" w14:textId="77777777">
      <w:pPr>
        <w:pStyle w:val="NormalWeb"/>
        <w:rPr>
          <w:rFonts w:ascii="Helvetica" w:hAnsi="Helvetica"/>
          <w:color w:val="000000" w:themeColor="text1"/>
          <w:sz w:val="22"/>
          <w:szCs w:val="22"/>
        </w:rPr>
      </w:pPr>
      <w:r w:rsidRPr="00533F31">
        <w:rPr>
          <w:rFonts w:ascii="Helvetica" w:hAnsi="Helvetica"/>
          <w:color w:val="000000" w:themeColor="text1"/>
          <w:sz w:val="22"/>
          <w:szCs w:val="22"/>
        </w:rPr>
        <w:lastRenderedPageBreak/>
        <w:t>If the employee does not accept the offer of a return to work, this should be discussed with them to establish why and further advice from the GP and/or occupational health may be required.</w:t>
      </w:r>
    </w:p>
    <w:p w:rsidRPr="00533F31" w:rsidR="001D75E1" w:rsidP="001D75E1" w:rsidRDefault="001D75E1" w14:paraId="5D601C37" w14:textId="77777777">
      <w:pPr>
        <w:pStyle w:val="Heading2"/>
        <w:rPr>
          <w:rFonts w:ascii="Helvetica" w:hAnsi="Helvetica" w:cs="Arial"/>
          <w:color w:val="000000" w:themeColor="text1"/>
          <w:sz w:val="22"/>
          <w:szCs w:val="22"/>
        </w:rPr>
      </w:pPr>
      <w:r w:rsidRPr="00533F31">
        <w:rPr>
          <w:rFonts w:ascii="Helvetica" w:hAnsi="Helvetica" w:cs="Arial"/>
          <w:color w:val="000000" w:themeColor="text1"/>
          <w:sz w:val="22"/>
          <w:szCs w:val="22"/>
        </w:rPr>
        <w:t>How long is the GP’s advice in place for?</w:t>
      </w:r>
    </w:p>
    <w:p w:rsidRPr="00533F31" w:rsidR="001D75E1" w:rsidP="001D75E1" w:rsidRDefault="001D75E1" w14:paraId="5D601C38" w14:textId="44E95872">
      <w:pPr>
        <w:pStyle w:val="NormalWeb"/>
        <w:rPr>
          <w:rFonts w:ascii="Helvetica" w:hAnsi="Helvetica"/>
          <w:color w:val="000000" w:themeColor="text1"/>
          <w:sz w:val="22"/>
          <w:szCs w:val="22"/>
        </w:rPr>
      </w:pPr>
      <w:r w:rsidRPr="00533F31">
        <w:rPr>
          <w:rFonts w:ascii="Helvetica" w:hAnsi="Helvetica"/>
          <w:color w:val="000000" w:themeColor="text1"/>
          <w:sz w:val="22"/>
          <w:szCs w:val="22"/>
        </w:rPr>
        <w:t xml:space="preserve">The GP will state the period that the advice in the Statement covers. The Statement may cover a period of up to a maximum of 3 months during the first 6 months of sickness. </w:t>
      </w:r>
    </w:p>
    <w:p w:rsidRPr="00533F31" w:rsidR="001D75E1" w:rsidP="001D75E1" w:rsidRDefault="001D75E1" w14:paraId="5D601C39" w14:textId="77777777">
      <w:pPr>
        <w:pStyle w:val="Heading2"/>
        <w:rPr>
          <w:rFonts w:ascii="Helvetica" w:hAnsi="Helvetica" w:cs="Arial"/>
          <w:color w:val="000000" w:themeColor="text1"/>
          <w:sz w:val="22"/>
          <w:szCs w:val="22"/>
        </w:rPr>
      </w:pPr>
      <w:r w:rsidRPr="00533F31">
        <w:rPr>
          <w:rFonts w:ascii="Helvetica" w:hAnsi="Helvetica" w:cs="Arial"/>
          <w:color w:val="000000" w:themeColor="text1"/>
          <w:sz w:val="22"/>
          <w:szCs w:val="22"/>
        </w:rPr>
        <w:t>Returning to work</w:t>
      </w:r>
    </w:p>
    <w:p w:rsidRPr="00533F31" w:rsidR="001D75E1" w:rsidP="001D75E1" w:rsidRDefault="001D75E1" w14:paraId="5D601C3A" w14:textId="36AF7C55">
      <w:pPr>
        <w:pStyle w:val="NormalWeb"/>
        <w:rPr>
          <w:rFonts w:ascii="Helvetica" w:hAnsi="Helvetica"/>
          <w:color w:val="000000" w:themeColor="text1"/>
          <w:sz w:val="22"/>
          <w:szCs w:val="22"/>
        </w:rPr>
      </w:pPr>
      <w:r w:rsidRPr="00533F31">
        <w:rPr>
          <w:rFonts w:ascii="Helvetica" w:hAnsi="Helvetica"/>
          <w:color w:val="000000" w:themeColor="text1"/>
          <w:sz w:val="22"/>
          <w:szCs w:val="22"/>
        </w:rPr>
        <w:t xml:space="preserve">The member of staff is expected to return to work on their next normal working day following the expiry of the Statement unless the GP has specifically noted that the employee needs to revisit their GP for a further assessment prior to returning to work. </w:t>
      </w:r>
    </w:p>
    <w:p w:rsidRPr="00533F31" w:rsidR="001D75E1" w:rsidP="001D75E1" w:rsidRDefault="001D75E1" w14:paraId="5D601C3B" w14:textId="3039BA2F">
      <w:pPr>
        <w:pStyle w:val="NormalWeb"/>
        <w:rPr>
          <w:rFonts w:ascii="Helvetica" w:hAnsi="Helvetica"/>
          <w:color w:val="000000" w:themeColor="text1"/>
          <w:sz w:val="22"/>
          <w:szCs w:val="22"/>
        </w:rPr>
      </w:pPr>
      <w:r w:rsidRPr="00533F31">
        <w:rPr>
          <w:rFonts w:ascii="Helvetica" w:hAnsi="Helvetica"/>
          <w:color w:val="000000" w:themeColor="text1"/>
          <w:sz w:val="22"/>
          <w:szCs w:val="22"/>
        </w:rPr>
        <w:t xml:space="preserve">The employee may return before the Statement expires subject to agreement by the </w:t>
      </w:r>
      <w:r w:rsidR="006350DB">
        <w:rPr>
          <w:rFonts w:ascii="Helvetica" w:hAnsi="Helvetica"/>
          <w:color w:val="000000" w:themeColor="text1"/>
          <w:sz w:val="22"/>
          <w:szCs w:val="22"/>
        </w:rPr>
        <w:t>University</w:t>
      </w:r>
      <w:r w:rsidRPr="00533F31">
        <w:rPr>
          <w:rFonts w:ascii="Helvetica" w:hAnsi="Helvetica"/>
          <w:color w:val="000000" w:themeColor="text1"/>
          <w:sz w:val="22"/>
          <w:szCs w:val="22"/>
        </w:rPr>
        <w:t>.</w:t>
      </w:r>
    </w:p>
    <w:p w:rsidRPr="00617005" w:rsidR="006E4963" w:rsidRDefault="006E4963" w14:paraId="5D601C42" w14:textId="387FE98E">
      <w:pPr>
        <w:rPr>
          <w:rFonts w:ascii="Helvetica" w:hAnsi="Helvetica"/>
        </w:rPr>
      </w:pPr>
    </w:p>
    <w:p w:rsidRPr="00617005" w:rsidR="00617005" w:rsidRDefault="00C81D27" w14:paraId="1E2FD005" w14:textId="1B249567">
      <w:pPr>
        <w:rPr>
          <w:rFonts w:ascii="Helvetica" w:hAnsi="Helvetica"/>
        </w:rPr>
      </w:pPr>
      <w:r>
        <w:rPr>
          <w:rFonts w:ascii="Helvetica" w:hAnsi="Helvetica"/>
        </w:rPr>
        <w:t>May</w:t>
      </w:r>
      <w:bookmarkStart w:name="_GoBack" w:id="0"/>
      <w:bookmarkEnd w:id="0"/>
      <w:r w:rsidRPr="00617005" w:rsidR="00617005">
        <w:rPr>
          <w:rFonts w:ascii="Helvetica" w:hAnsi="Helvetica"/>
        </w:rPr>
        <w:t xml:space="preserve"> 2020</w:t>
      </w:r>
    </w:p>
    <w:p w:rsidRPr="00617005" w:rsidR="00617005" w:rsidRDefault="00617005" w14:paraId="5829C3AF" w14:textId="17C41DE0">
      <w:pPr>
        <w:rPr>
          <w:rFonts w:ascii="Helvetica" w:hAnsi="Helvetica"/>
        </w:rPr>
      </w:pPr>
      <w:r w:rsidRPr="00617005">
        <w:rPr>
          <w:rFonts w:ascii="Helvetica" w:hAnsi="Helvetica"/>
        </w:rPr>
        <w:t>HR Department</w:t>
      </w:r>
    </w:p>
    <w:sectPr w:rsidRPr="00617005" w:rsidR="006170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3449"/>
    <w:multiLevelType w:val="multilevel"/>
    <w:tmpl w:val="102C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E5068"/>
    <w:multiLevelType w:val="multilevel"/>
    <w:tmpl w:val="F42A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802EB"/>
    <w:multiLevelType w:val="multilevel"/>
    <w:tmpl w:val="350E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F2D49"/>
    <w:multiLevelType w:val="multilevel"/>
    <w:tmpl w:val="E5CA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A7E88"/>
    <w:multiLevelType w:val="multilevel"/>
    <w:tmpl w:val="173C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82372"/>
    <w:multiLevelType w:val="multilevel"/>
    <w:tmpl w:val="033A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CF0"/>
    <w:rsid w:val="001D75E1"/>
    <w:rsid w:val="005202CE"/>
    <w:rsid w:val="00533F31"/>
    <w:rsid w:val="00617005"/>
    <w:rsid w:val="006350DB"/>
    <w:rsid w:val="00697B9B"/>
    <w:rsid w:val="006E4963"/>
    <w:rsid w:val="0073449B"/>
    <w:rsid w:val="00A12CF0"/>
    <w:rsid w:val="00C81D27"/>
    <w:rsid w:val="00C83471"/>
    <w:rsid w:val="00EE5012"/>
    <w:rsid w:val="00EF6973"/>
    <w:rsid w:val="00F32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1C24"/>
  <w15:chartTrackingRefBased/>
  <w15:docId w15:val="{ECD0FAF7-C092-4465-97F6-B2E33A7B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12C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12CF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1D75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CF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12CF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12C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12CF0"/>
    <w:rPr>
      <w:color w:val="0000FF"/>
      <w:u w:val="single"/>
    </w:rPr>
  </w:style>
  <w:style w:type="character" w:customStyle="1" w:styleId="Heading3Char">
    <w:name w:val="Heading 3 Char"/>
    <w:basedOn w:val="DefaultParagraphFont"/>
    <w:link w:val="Heading3"/>
    <w:uiPriority w:val="9"/>
    <w:semiHidden/>
    <w:rsid w:val="001D75E1"/>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81D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76449">
      <w:bodyDiv w:val="1"/>
      <w:marLeft w:val="0"/>
      <w:marRight w:val="0"/>
      <w:marTop w:val="0"/>
      <w:marBottom w:val="0"/>
      <w:divBdr>
        <w:top w:val="none" w:sz="0" w:space="0" w:color="auto"/>
        <w:left w:val="none" w:sz="0" w:space="0" w:color="auto"/>
        <w:bottom w:val="none" w:sz="0" w:space="0" w:color="auto"/>
        <w:right w:val="none" w:sz="0" w:space="0" w:color="auto"/>
      </w:divBdr>
      <w:divsChild>
        <w:div w:id="1451169973">
          <w:marLeft w:val="0"/>
          <w:marRight w:val="0"/>
          <w:marTop w:val="0"/>
          <w:marBottom w:val="0"/>
          <w:divBdr>
            <w:top w:val="none" w:sz="0" w:space="0" w:color="auto"/>
            <w:left w:val="none" w:sz="0" w:space="0" w:color="auto"/>
            <w:bottom w:val="none" w:sz="0" w:space="0" w:color="auto"/>
            <w:right w:val="none" w:sz="0" w:space="0" w:color="auto"/>
          </w:divBdr>
          <w:divsChild>
            <w:div w:id="17717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63538">
      <w:bodyDiv w:val="1"/>
      <w:marLeft w:val="0"/>
      <w:marRight w:val="0"/>
      <w:marTop w:val="0"/>
      <w:marBottom w:val="0"/>
      <w:divBdr>
        <w:top w:val="none" w:sz="0" w:space="0" w:color="auto"/>
        <w:left w:val="none" w:sz="0" w:space="0" w:color="auto"/>
        <w:bottom w:val="none" w:sz="0" w:space="0" w:color="auto"/>
        <w:right w:val="none" w:sz="0" w:space="0" w:color="auto"/>
      </w:divBdr>
      <w:divsChild>
        <w:div w:id="1091774721">
          <w:marLeft w:val="0"/>
          <w:marRight w:val="0"/>
          <w:marTop w:val="0"/>
          <w:marBottom w:val="0"/>
          <w:divBdr>
            <w:top w:val="none" w:sz="0" w:space="0" w:color="auto"/>
            <w:left w:val="none" w:sz="0" w:space="0" w:color="auto"/>
            <w:bottom w:val="none" w:sz="0" w:space="0" w:color="auto"/>
            <w:right w:val="none" w:sz="0" w:space="0" w:color="auto"/>
          </w:divBdr>
          <w:divsChild>
            <w:div w:id="183456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wp.gov.uk/docs/med3-fitnote-sample.pdf"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79A0FBC8E954A87C6250231140FA2" ma:contentTypeVersion="1" ma:contentTypeDescription="Create a new document." ma:contentTypeScope="" ma:versionID="476deaa6cd09b57c21e56c1abbd8bc6f">
  <xsd:schema xmlns:xsd="http://www.w3.org/2001/XMLSchema" xmlns:xs="http://www.w3.org/2001/XMLSchema" xmlns:p="http://schemas.microsoft.com/office/2006/metadata/properties" xmlns:ns1="http://schemas.microsoft.com/sharepoint/v3" xmlns:ns2="559e8a90-c5f0-4960-93bb-48a9a6be2d22" targetNamespace="http://schemas.microsoft.com/office/2006/metadata/properties" ma:root="true" ma:fieldsID="ddee45546779fa804755fe3de612b43d" ns1:_="" ns2:_="">
    <xsd:import namespace="http://schemas.microsoft.com/sharepoint/v3"/>
    <xsd:import namespace="559e8a90-c5f0-4960-93bb-48a9a6be2d2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9e8a90-c5f0-4960-93bb-48a9a6be2d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59e8a90-c5f0-4960-93bb-48a9a6be2d22">R63NPHTH4QFH-138-200</_dlc_DocId>
    <_dlc_DocIdUrl xmlns="559e8a90-c5f0-4960-93bb-48a9a6be2d22">
      <Url>https://staffnet.stmarys.ac.uk/services-departments/HumanResources/StaffDevelopment/_layouts/15/DocIdRedir.aspx?ID=R63NPHTH4QFH-138-200</Url>
      <Description>R63NPHTH4QFH-138-200</Description>
    </_dlc_DocIdUrl>
  </documentManagement>
</p:properties>
</file>

<file path=customXml/itemProps1.xml><?xml version="1.0" encoding="utf-8"?>
<ds:datastoreItem xmlns:ds="http://schemas.openxmlformats.org/officeDocument/2006/customXml" ds:itemID="{B2D54F49-9BDA-4E3A-99CF-3F4250F3B5E6}"/>
</file>

<file path=customXml/itemProps2.xml><?xml version="1.0" encoding="utf-8"?>
<ds:datastoreItem xmlns:ds="http://schemas.openxmlformats.org/officeDocument/2006/customXml" ds:itemID="{CE43DC4A-B36A-4918-9942-B6C67127FBDD}"/>
</file>

<file path=customXml/itemProps3.xml><?xml version="1.0" encoding="utf-8"?>
<ds:datastoreItem xmlns:ds="http://schemas.openxmlformats.org/officeDocument/2006/customXml" ds:itemID="{22F4229B-C6B2-4A9A-9854-989D7BE5BC93}"/>
</file>

<file path=customXml/itemProps4.xml><?xml version="1.0" encoding="utf-8"?>
<ds:datastoreItem xmlns:ds="http://schemas.openxmlformats.org/officeDocument/2006/customXml" ds:itemID="{7E023F71-308C-49BB-B9C6-A96216AED17B}"/>
</file>

<file path=docProps/app.xml><?xml version="1.0" encoding="utf-8"?>
<Properties xmlns="http://schemas.openxmlformats.org/officeDocument/2006/extended-properties" xmlns:vt="http://schemas.openxmlformats.org/officeDocument/2006/docPropsVTypes">
  <Template>Normal</Template>
  <TotalTime>974</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Note guide for managers</dc:title>
  <dc:subject>Fit Note Guidance for Managers</dc:subject>
  <dc:creator>Lisa Bath</dc:creator>
  <cp:keywords>
  </cp:keywords>
  <dc:description>
  </dc:description>
  <cp:lastModifiedBy>Lisa Bath</cp:lastModifiedBy>
  <cp:revision>8</cp:revision>
  <dcterms:created xsi:type="dcterms:W3CDTF">2019-06-20T09:19:00Z</dcterms:created>
  <dcterms:modified xsi:type="dcterms:W3CDTF">2022-07-11T15:01:16Z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0x0101003D279A0FBC8E954A87C6250231140FA2</vt:lpwstr>
  </property>
  <property fmtid="{D5CDD505-2E9C-101B-9397-08002B2CF9AE}" pid="3" name="_dlc_DocIdItemGuid">
    <vt:lpwstr>39462988-d622-4473-9c8b-e9074f6a5630</vt:lpwstr>
  </property>
</Properties>
</file>