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1E2A" w:rsidR="00B01E2A" w:rsidP="00B01E2A" w:rsidRDefault="00B01E2A">
      <w:pPr>
        <w:pStyle w:val="Heading1"/>
        <w:rPr>
          <w:rFonts w:ascii="Helvetica" w:hAnsi="Helvetica"/>
        </w:rPr>
      </w:pPr>
      <w:r w:rsidRPr="00B01E2A">
        <w:rPr>
          <w:rFonts w:ascii="Helvetica" w:hAnsi="Helvetica"/>
        </w:rPr>
        <w:t>Manager Briefing</w:t>
      </w:r>
    </w:p>
    <w:p w:rsidRPr="00B803C2" w:rsidR="00B01E2A" w:rsidP="00B803C2" w:rsidRDefault="00B01E2A">
      <w:pPr>
        <w:pStyle w:val="Heading2"/>
        <w:rPr>
          <w:rFonts w:ascii="Helvetica" w:hAnsi="Helvetica"/>
        </w:rPr>
      </w:pPr>
      <w:r w:rsidRPr="00B803C2">
        <w:rPr>
          <w:rFonts w:ascii="Helvetica" w:hAnsi="Helvetica"/>
        </w:rPr>
        <w:t>COVID-19 and mental health</w:t>
      </w:r>
    </w:p>
    <w:p w:rsidRPr="00B01E2A" w:rsidR="00B01E2A" w:rsidP="00B01E2A" w:rsidRDefault="00B01E2A">
      <w:pPr>
        <w:pStyle w:val="NormalWeb"/>
        <w:rPr>
          <w:rFonts w:ascii="Helvetica" w:hAnsi="Helvetica"/>
        </w:rPr>
      </w:pPr>
      <w:r w:rsidRPr="00B01E2A">
        <w:rPr>
          <w:rFonts w:ascii="Helvetica" w:hAnsi="Helvetica"/>
        </w:rPr>
        <w:t xml:space="preserve">We all know the pandemic has been challenging, and it will come as no surprise that the </w:t>
      </w:r>
      <w:hyperlink w:history="1" r:id="rId8">
        <w:r w:rsidRPr="00B01E2A">
          <w:rPr>
            <w:rStyle w:val="Hyperlink"/>
            <w:rFonts w:ascii="Helvetica" w:hAnsi="Helvetica" w:eastAsiaTheme="majorEastAsia"/>
          </w:rPr>
          <w:t>Office for National Statistics (ONS)</w:t>
        </w:r>
      </w:hyperlink>
      <w:r w:rsidRPr="00B01E2A">
        <w:rPr>
          <w:rFonts w:ascii="Helvetica" w:hAnsi="Helvetica"/>
        </w:rPr>
        <w:t xml:space="preserve"> has found an increase in feelings of anxiety, and a decrease in life satisfaction, happiness and feeling worthwhile. </w:t>
      </w:r>
    </w:p>
    <w:p w:rsidR="00B01E2A" w:rsidP="00B01E2A" w:rsidRDefault="00B01E2A">
      <w:pPr>
        <w:pStyle w:val="NormalWeb"/>
        <w:rPr>
          <w:rFonts w:ascii="Helvetica" w:hAnsi="Helvetica"/>
        </w:rPr>
      </w:pPr>
      <w:r w:rsidRPr="00B01E2A">
        <w:rPr>
          <w:rFonts w:ascii="Helvetica" w:hAnsi="Helvetica"/>
        </w:rPr>
        <w:t>We don't yet know what the impact of the COVID-19 pandemic will be on long term mental health, but research suggests we can expect a noticeable increase in stress, anxiety, and related mental health problems</w:t>
      </w:r>
      <w:r w:rsidR="005463C6">
        <w:rPr>
          <w:rFonts w:ascii="Helvetica" w:hAnsi="Helvetica"/>
        </w:rPr>
        <w:t xml:space="preserve"> in the workplace.</w:t>
      </w:r>
    </w:p>
    <w:p w:rsidR="007F057C" w:rsidP="00B01E2A" w:rsidRDefault="007F057C">
      <w:pPr>
        <w:pStyle w:val="NormalWeb"/>
        <w:rPr>
          <w:rFonts w:ascii="Helvetica" w:hAnsi="Helvetica"/>
          <w:color w:val="7030A0"/>
          <w:sz w:val="28"/>
        </w:rPr>
      </w:pPr>
      <w:r w:rsidRPr="007F057C">
        <w:rPr>
          <w:rFonts w:ascii="Helvetica" w:hAnsi="Helvetica"/>
          <w:b/>
          <w:noProof/>
          <w:color w:val="7030A0"/>
          <w:sz w:val="28"/>
        </w:rPr>
        <w:drawing>
          <wp:anchor distT="0" distB="0" distL="114300" distR="114300" simplePos="0" relativeHeight="251658240" behindDoc="0" locked="0" layoutInCell="1" allowOverlap="1" wp14:anchorId="145D92D3">
            <wp:simplePos x="0" y="0"/>
            <wp:positionH relativeFrom="column">
              <wp:posOffset>3086100</wp:posOffset>
            </wp:positionH>
            <wp:positionV relativeFrom="paragraph">
              <wp:posOffset>-3175</wp:posOffset>
            </wp:positionV>
            <wp:extent cx="2924175" cy="2266950"/>
            <wp:effectExtent l="0" t="0" r="9525" b="0"/>
            <wp:wrapSquare wrapText="bothSides"/>
            <wp:docPr id="3074" name="Picture 1" descr="Image of The Process of Transition curve by John Fisher, 2012. Depicts the emotions people may experience during change, including anxiety, happiness, fear, threat, guilt, depression, hostility, denial, disillusionment, gradual acceptance, and moving forward.">
              <a:extLst xmlns:a="http://schemas.openxmlformats.org/drawingml/2006/main">
                <a:ext uri="{FF2B5EF4-FFF2-40B4-BE49-F238E27FC236}">
                  <a16:creationId xmlns:a16="http://schemas.microsoft.com/office/drawing/2014/main" id="{1CF5A666-1CCD-4AE0-9D6C-9B9CAD58E8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1">
                      <a:extLst>
                        <a:ext uri="{FF2B5EF4-FFF2-40B4-BE49-F238E27FC236}">
                          <a16:creationId xmlns:a16="http://schemas.microsoft.com/office/drawing/2014/main" id="{1CF5A666-1CCD-4AE0-9D6C-9B9CAD58E83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22669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7F057C">
        <w:rPr>
          <w:rFonts w:ascii="Helvetica" w:hAnsi="Helvetica"/>
          <w:b/>
          <w:color w:val="7030A0"/>
          <w:sz w:val="28"/>
        </w:rPr>
        <w:t xml:space="preserve">Our ability to process emotions about changes </w:t>
      </w:r>
      <w:r>
        <w:rPr>
          <w:rFonts w:ascii="Helvetica" w:hAnsi="Helvetica"/>
          <w:b/>
          <w:color w:val="7030A0"/>
          <w:sz w:val="28"/>
        </w:rPr>
        <w:t xml:space="preserve">during the pandemic </w:t>
      </w:r>
      <w:r w:rsidRPr="007F057C">
        <w:rPr>
          <w:rFonts w:ascii="Helvetica" w:hAnsi="Helvetica"/>
          <w:b/>
          <w:color w:val="7030A0"/>
          <w:sz w:val="28"/>
        </w:rPr>
        <w:t>has been inhibited:</w:t>
      </w:r>
      <w:r w:rsidRPr="007F057C">
        <w:rPr>
          <w:rFonts w:ascii="Helvetica" w:hAnsi="Helvetica"/>
          <w:color w:val="7030A0"/>
          <w:sz w:val="28"/>
        </w:rPr>
        <w:t xml:space="preserve"> </w:t>
      </w:r>
    </w:p>
    <w:p w:rsidRPr="00B01E2A" w:rsidR="00B01E2A" w:rsidP="00B01E2A" w:rsidRDefault="00B902CF">
      <w:pPr>
        <w:pStyle w:val="NormalWeb"/>
        <w:rPr>
          <w:rFonts w:ascii="Helvetica" w:hAnsi="Helvetica"/>
        </w:rPr>
      </w:pPr>
      <w:r>
        <w:rPr>
          <w:noProof/>
        </w:rPr>
        <mc:AlternateContent>
          <mc:Choice Requires="wps">
            <w:drawing>
              <wp:anchor distT="0" distB="0" distL="114300" distR="114300" simplePos="0" relativeHeight="251660288" behindDoc="0" locked="0" layoutInCell="1" allowOverlap="1" wp14:editId="217F6100" wp14:anchorId="657A5798">
                <wp:simplePos x="0" y="0"/>
                <wp:positionH relativeFrom="column">
                  <wp:posOffset>3171825</wp:posOffset>
                </wp:positionH>
                <wp:positionV relativeFrom="paragraph">
                  <wp:posOffset>1451610</wp:posOffset>
                </wp:positionV>
                <wp:extent cx="2924175" cy="18097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924175" cy="180975"/>
                        </a:xfrm>
                        <a:prstGeom prst="rect">
                          <a:avLst/>
                        </a:prstGeom>
                        <a:solidFill>
                          <a:prstClr val="white"/>
                        </a:solidFill>
                        <a:ln>
                          <a:noFill/>
                        </a:ln>
                      </wps:spPr>
                      <wps:txbx>
                        <w:txbxContent>
                          <w:p w:rsidRPr="00B902CF" w:rsidR="00B902CF" w:rsidP="00B902CF" w:rsidRDefault="00B902CF">
                            <w:pPr>
                              <w:pStyle w:val="Caption"/>
                              <w:rPr>
                                <w:rFonts w:ascii="Helvetica" w:hAnsi="Helvetica" w:eastAsia="Times New Roman" w:cs="Times New Roman"/>
                                <w:b/>
                                <w:noProof/>
                                <w:color w:val="7030A0"/>
                                <w:sz w:val="28"/>
                                <w:szCs w:val="24"/>
                              </w:rPr>
                            </w:pPr>
                            <w:r w:rsidRPr="00B902CF">
                              <w:rPr>
                                <w:rFonts w:ascii="Helvetica" w:hAnsi="Helvetica"/>
                              </w:rPr>
                              <w:t xml:space="preserve">Figure </w:t>
                            </w:r>
                            <w:r w:rsidRPr="00B902CF">
                              <w:rPr>
                                <w:rFonts w:ascii="Helvetica" w:hAnsi="Helvetica"/>
                              </w:rPr>
                              <w:fldChar w:fldCharType="begin"/>
                            </w:r>
                            <w:r w:rsidRPr="00B902CF">
                              <w:rPr>
                                <w:rFonts w:ascii="Helvetica" w:hAnsi="Helvetica"/>
                              </w:rPr>
                              <w:instrText xml:space="preserve"> SEQ Figure \* ARABIC </w:instrText>
                            </w:r>
                            <w:r w:rsidRPr="00B902CF">
                              <w:rPr>
                                <w:rFonts w:ascii="Helvetica" w:hAnsi="Helvetica"/>
                              </w:rPr>
                              <w:fldChar w:fldCharType="separate"/>
                            </w:r>
                            <w:r w:rsidRPr="00B902CF">
                              <w:rPr>
                                <w:rFonts w:ascii="Helvetica" w:hAnsi="Helvetica"/>
                                <w:noProof/>
                              </w:rPr>
                              <w:t>1</w:t>
                            </w:r>
                            <w:r w:rsidRPr="00B902CF">
                              <w:rPr>
                                <w:rFonts w:ascii="Helvetica" w:hAnsi="Helvetica"/>
                              </w:rPr>
                              <w:fldChar w:fldCharType="end"/>
                            </w:r>
                            <w:r>
                              <w:rPr>
                                <w:rFonts w:ascii="Helvetica" w:hAnsi="Helvetica"/>
                              </w:rPr>
                              <w:t xml:space="preserve">: </w:t>
                            </w:r>
                            <w:hyperlink w:history="1" r:id="rId10">
                              <w:r w:rsidRPr="00B902CF">
                                <w:rPr>
                                  <w:rStyle w:val="Hyperlink"/>
                                  <w:rFonts w:ascii="Helvetica" w:hAnsi="Helvetica"/>
                                </w:rPr>
                                <w:t>The Process of Transition - John Fisher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57A5798">
                <v:stroke joinstyle="miter"/>
                <v:path gradientshapeok="t" o:connecttype="rect"/>
              </v:shapetype>
              <v:shape id="Text Box 1" style="position:absolute;margin-left:249.75pt;margin-top:114.3pt;width:230.25pt;height: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">
                <v:textbox inset="0,0,0,0">
                  <w:txbxContent>
                    <w:p w:rsidRPr="00B902CF" w:rsidR="00B902CF" w:rsidP="00B902CF" w:rsidRDefault="00B902CF">
                      <w:pPr>
                        <w:pStyle w:val="Caption"/>
                        <w:rPr>
                          <w:rFonts w:ascii="Helvetica" w:hAnsi="Helvetica" w:eastAsia="Times New Roman" w:cs="Times New Roman"/>
                          <w:b/>
                          <w:noProof/>
                          <w:color w:val="7030A0"/>
                          <w:sz w:val="28"/>
                          <w:szCs w:val="24"/>
                        </w:rPr>
                      </w:pPr>
                      <w:r w:rsidRPr="00B902CF">
                        <w:rPr>
                          <w:rFonts w:ascii="Helvetica" w:hAnsi="Helvetica"/>
                        </w:rPr>
                        <w:t xml:space="preserve">Figure </w:t>
                      </w:r>
                      <w:r w:rsidRPr="00B902CF">
                        <w:rPr>
                          <w:rFonts w:ascii="Helvetica" w:hAnsi="Helvetica"/>
                        </w:rPr>
                        <w:fldChar w:fldCharType="begin"/>
                      </w:r>
                      <w:r w:rsidRPr="00B902CF">
                        <w:rPr>
                          <w:rFonts w:ascii="Helvetica" w:hAnsi="Helvetica"/>
                        </w:rPr>
                        <w:instrText xml:space="preserve"> SEQ Figure \* ARABIC </w:instrText>
                      </w:r>
                      <w:r w:rsidRPr="00B902CF">
                        <w:rPr>
                          <w:rFonts w:ascii="Helvetica" w:hAnsi="Helvetica"/>
                        </w:rPr>
                        <w:fldChar w:fldCharType="separate"/>
                      </w:r>
                      <w:r w:rsidRPr="00B902CF">
                        <w:rPr>
                          <w:rFonts w:ascii="Helvetica" w:hAnsi="Helvetica"/>
                          <w:noProof/>
                        </w:rPr>
                        <w:t>1</w:t>
                      </w:r>
                      <w:r w:rsidRPr="00B902CF">
                        <w:rPr>
                          <w:rFonts w:ascii="Helvetica" w:hAnsi="Helvetica"/>
                        </w:rPr>
                        <w:fldChar w:fldCharType="end"/>
                      </w:r>
                      <w:r>
                        <w:rPr>
                          <w:rFonts w:ascii="Helvetica" w:hAnsi="Helvetica"/>
                        </w:rPr>
                        <w:t xml:space="preserve">: </w:t>
                      </w:r>
                      <w:hyperlink w:history="1" r:id="rId11">
                        <w:r w:rsidRPr="00B902CF">
                          <w:rPr>
                            <w:rStyle w:val="Hyperlink"/>
                            <w:rFonts w:ascii="Helvetica" w:hAnsi="Helvetica"/>
                          </w:rPr>
                          <w:t>The Process of Transition - John Fisher</w:t>
                        </w:r>
                      </w:hyperlink>
                    </w:p>
                  </w:txbxContent>
                </v:textbox>
                <w10:wrap type="square"/>
              </v:shape>
            </w:pict>
          </mc:Fallback>
        </mc:AlternateContent>
      </w:r>
      <w:r w:rsidRPr="00B01E2A" w:rsidR="00B01E2A">
        <w:rPr>
          <w:rFonts w:ascii="Helvetica" w:hAnsi="Helvetica"/>
        </w:rPr>
        <w:t>When major changes occur, there is a transition period. People may go through a range of emotions, including anxiety, fear, hostility and depression, before they accept the change and start to look at moving forward. However, the constant changes over the past year have left little time for people to process their emotions.</w:t>
      </w:r>
    </w:p>
    <w:p w:rsidR="00637EDC" w:rsidP="007F057C" w:rsidRDefault="00736BF2">
      <w:pPr>
        <w:rPr>
          <w:rFonts w:ascii="Helvetica" w:hAnsi="Helvetica"/>
        </w:rPr>
      </w:pPr>
      <w:r>
        <w:rPr>
          <w:rFonts w:ascii="Helvetica" w:hAnsi="Helvetica"/>
          <w:b/>
          <w:color w:val="7030A0"/>
          <w:sz w:val="28"/>
        </w:rPr>
        <w:t>Mental Health problems have increased</w:t>
      </w:r>
      <w:r w:rsidRPr="007F057C" w:rsidR="007F057C">
        <w:rPr>
          <w:rFonts w:ascii="Helvetica" w:hAnsi="Helvetica"/>
          <w:b/>
          <w:color w:val="7030A0"/>
          <w:sz w:val="28"/>
        </w:rPr>
        <w:t>:</w:t>
      </w:r>
      <w:r w:rsidRPr="007F057C" w:rsidR="007F057C">
        <w:rPr>
          <w:rFonts w:ascii="Helvetica" w:hAnsi="Helvetica"/>
        </w:rPr>
        <w:t xml:space="preserve"> </w:t>
      </w:r>
      <w:r>
        <w:rPr>
          <w:rFonts w:ascii="Helvetica" w:hAnsi="Helvetica"/>
        </w:rPr>
        <w:t xml:space="preserve">Mind found that 60% adults and 68% young people </w:t>
      </w:r>
      <w:r w:rsidR="005463C6">
        <w:rPr>
          <w:rFonts w:ascii="Helvetica" w:hAnsi="Helvetica"/>
        </w:rPr>
        <w:t>said their mental health worsened during lockdown</w:t>
      </w:r>
      <w:r w:rsidR="005463C6">
        <w:rPr>
          <w:rStyle w:val="FootnoteReference"/>
          <w:rFonts w:ascii="Helvetica" w:hAnsi="Helvetica"/>
        </w:rPr>
        <w:footnoteReference w:id="1"/>
      </w:r>
      <w:r w:rsidR="005463C6">
        <w:rPr>
          <w:rFonts w:ascii="Helvetica" w:hAnsi="Helvetica"/>
        </w:rPr>
        <w:t xml:space="preserve">. </w:t>
      </w:r>
      <w:r w:rsidR="007F057C">
        <w:rPr>
          <w:rFonts w:ascii="Helvetica" w:hAnsi="Helvetica"/>
        </w:rPr>
        <w:t xml:space="preserve">According to the ONS </w:t>
      </w:r>
      <w:r w:rsidRPr="007F057C" w:rsidR="00E851B3">
        <w:rPr>
          <w:rFonts w:ascii="Helvetica" w:hAnsi="Helvetica"/>
        </w:rPr>
        <w:t>“Around one in five (21%) adults aged 16 years and over in Great Britain experienced some form of depression (indicated by moderate to severe depressive symptoms) in early 2021 (27 January to 7 March), an increase from 19% in November 2020.”</w:t>
      </w:r>
      <w:r w:rsidR="00E851B3">
        <w:rPr>
          <w:rStyle w:val="FootnoteReference"/>
          <w:rFonts w:ascii="Helvetica" w:hAnsi="Helvetica"/>
        </w:rPr>
        <w:footnoteReference w:id="2"/>
      </w:r>
    </w:p>
    <w:p w:rsidR="007F057C" w:rsidP="00F35AB8" w:rsidRDefault="00F35AB8">
      <w:pPr>
        <w:rPr>
          <w:rFonts w:ascii="Helvetica" w:hAnsi="Helvetica"/>
        </w:rPr>
      </w:pPr>
      <w:r>
        <w:rPr>
          <w:rFonts w:ascii="Helvetica" w:hAnsi="Helvetica"/>
          <w:b/>
          <w:color w:val="7030A0"/>
          <w:sz w:val="28"/>
        </w:rPr>
        <w:t xml:space="preserve">Business Impact: </w:t>
      </w:r>
      <w:r w:rsidRPr="00F35AB8">
        <w:rPr>
          <w:rFonts w:ascii="Helvetica" w:hAnsi="Helvetica"/>
        </w:rPr>
        <w:t>In 2019/20 stress, depression or anxiety accounted for 51% of all work-related ill health cases and</w:t>
      </w:r>
      <w:r>
        <w:rPr>
          <w:rFonts w:ascii="Helvetica" w:hAnsi="Helvetica"/>
        </w:rPr>
        <w:t xml:space="preserve"> </w:t>
      </w:r>
      <w:r w:rsidRPr="00F35AB8">
        <w:rPr>
          <w:rFonts w:ascii="Helvetica" w:hAnsi="Helvetica"/>
        </w:rPr>
        <w:t>55% of all working days lost due to work-related ill health.</w:t>
      </w:r>
      <w:r>
        <w:rPr>
          <w:rStyle w:val="FootnoteReference"/>
          <w:rFonts w:ascii="Helvetica" w:hAnsi="Helvetica"/>
        </w:rPr>
        <w:footnoteReference w:id="3"/>
      </w:r>
    </w:p>
    <w:p w:rsidR="00B803C2" w:rsidP="00F35AB8" w:rsidRDefault="00F35AB8">
      <w:pPr>
        <w:rPr>
          <w:rFonts w:ascii="Helvetica" w:hAnsi="Helvetica"/>
        </w:rPr>
      </w:pPr>
      <w:r>
        <w:rPr>
          <w:rFonts w:ascii="Helvetica" w:hAnsi="Helvetica"/>
          <w:b/>
          <w:color w:val="7030A0"/>
          <w:sz w:val="28"/>
        </w:rPr>
        <w:t xml:space="preserve">COVID-19 is not the </w:t>
      </w:r>
      <w:r w:rsidR="00B803C2">
        <w:rPr>
          <w:rFonts w:ascii="Helvetica" w:hAnsi="Helvetica"/>
          <w:b/>
          <w:color w:val="7030A0"/>
          <w:sz w:val="28"/>
        </w:rPr>
        <w:t>main</w:t>
      </w:r>
      <w:r>
        <w:rPr>
          <w:rFonts w:ascii="Helvetica" w:hAnsi="Helvetica"/>
          <w:b/>
          <w:color w:val="7030A0"/>
          <w:sz w:val="28"/>
        </w:rPr>
        <w:t xml:space="preserve"> driver:</w:t>
      </w:r>
      <w:r>
        <w:rPr>
          <w:rFonts w:ascii="Helvetica" w:hAnsi="Helvetica"/>
        </w:rPr>
        <w:t xml:space="preserve"> Analysis by the HSE indicates that while COVID-19 may be a contributory factor in work-related stress, depression, and anxiety</w:t>
      </w:r>
      <w:r w:rsidR="00B803C2">
        <w:rPr>
          <w:rFonts w:ascii="Helvetica" w:hAnsi="Helvetica"/>
        </w:rPr>
        <w:t>, it “</w:t>
      </w:r>
      <w:r w:rsidRPr="00B803C2" w:rsidR="00B803C2">
        <w:rPr>
          <w:rFonts w:ascii="Helvetica" w:hAnsi="Helvetica"/>
        </w:rPr>
        <w:t>does not appear to be the main driver overall of these increases in work-related ill-health and injury</w:t>
      </w:r>
      <w:r w:rsidR="00B803C2">
        <w:rPr>
          <w:rFonts w:ascii="Helvetica" w:hAnsi="Helvetica"/>
        </w:rPr>
        <w:t>”</w:t>
      </w:r>
      <w:r w:rsidR="00B803C2">
        <w:rPr>
          <w:rStyle w:val="FootnoteReference"/>
          <w:rFonts w:ascii="Helvetica" w:hAnsi="Helvetica"/>
        </w:rPr>
        <w:footnoteReference w:id="4"/>
      </w:r>
      <w:r w:rsidR="00B803C2">
        <w:rPr>
          <w:rFonts w:ascii="Helvetica" w:hAnsi="Helvetica"/>
        </w:rPr>
        <w:t>. This is consistent with the definition of stress as “</w:t>
      </w:r>
      <w:r w:rsidRPr="00B803C2" w:rsidR="00B803C2">
        <w:rPr>
          <w:rFonts w:ascii="Helvetica" w:hAnsi="Helvetica"/>
        </w:rPr>
        <w:t>the adverse reaction people have to excessive pressures or other types of demand placed on them</w:t>
      </w:r>
      <w:r w:rsidR="00B803C2">
        <w:rPr>
          <w:rFonts w:ascii="Helvetica" w:hAnsi="Helvetica"/>
        </w:rPr>
        <w:t>”</w:t>
      </w:r>
      <w:r w:rsidR="00B803C2">
        <w:rPr>
          <w:rStyle w:val="FootnoteReference"/>
          <w:rFonts w:ascii="Helvetica" w:hAnsi="Helvetica"/>
        </w:rPr>
        <w:footnoteReference w:id="5"/>
      </w:r>
      <w:r w:rsidR="00B803C2">
        <w:rPr>
          <w:rFonts w:ascii="Helvetica" w:hAnsi="Helvetica"/>
        </w:rPr>
        <w:t xml:space="preserve">. COVID-19 creates additional </w:t>
      </w:r>
      <w:r w:rsidRPr="00B803C2" w:rsidR="00B803C2">
        <w:rPr>
          <w:rFonts w:ascii="Helvetica" w:hAnsi="Helvetica"/>
          <w:b/>
        </w:rPr>
        <w:t>pressure</w:t>
      </w:r>
      <w:r w:rsidR="00B803C2">
        <w:rPr>
          <w:rFonts w:ascii="Helvetica" w:hAnsi="Helvetica"/>
        </w:rPr>
        <w:t xml:space="preserve">, but this does not inevitably lead to stress if this pressure </w:t>
      </w:r>
      <w:r w:rsidR="00EF41BB">
        <w:rPr>
          <w:rFonts w:ascii="Helvetica" w:hAnsi="Helvetica"/>
        </w:rPr>
        <w:t>is</w:t>
      </w:r>
      <w:r w:rsidR="00B803C2">
        <w:rPr>
          <w:rFonts w:ascii="Helvetica" w:hAnsi="Helvetica"/>
        </w:rPr>
        <w:t xml:space="preserve"> well managed.</w:t>
      </w:r>
    </w:p>
    <w:p w:rsidR="00B803C2" w:rsidP="00B803C2" w:rsidRDefault="00B803C2">
      <w:pPr>
        <w:pStyle w:val="Heading2"/>
        <w:rPr>
          <w:rFonts w:ascii="Helvetica" w:hAnsi="Helvetica"/>
        </w:rPr>
      </w:pPr>
      <w:r>
        <w:br w:type="page"/>
      </w:r>
      <w:r w:rsidR="00371352">
        <w:rPr>
          <w:noProof/>
        </w:rPr>
        <w:lastRenderedPageBreak/>
        <w:drawing>
          <wp:anchor distT="0" distB="0" distL="114300" distR="114300" simplePos="0" relativeHeight="251661312" behindDoc="0" locked="0" layoutInCell="1" allowOverlap="1">
            <wp:simplePos x="0" y="0"/>
            <wp:positionH relativeFrom="column">
              <wp:posOffset>3768090</wp:posOffset>
            </wp:positionH>
            <wp:positionV relativeFrom="paragraph">
              <wp:posOffset>209550</wp:posOffset>
            </wp:positionV>
            <wp:extent cx="2125980" cy="1400175"/>
            <wp:effectExtent l="0" t="0" r="762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598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03C">
        <w:rPr>
          <w:rFonts w:ascii="Helvetica" w:hAnsi="Helvetica"/>
        </w:rPr>
        <w:t>Managing work-related stress</w:t>
      </w:r>
    </w:p>
    <w:p w:rsidR="0042503C" w:rsidP="0042503C" w:rsidRDefault="0042503C">
      <w:pPr>
        <w:rPr>
          <w:rFonts w:ascii="Helvetica" w:hAnsi="Helvetica"/>
        </w:rPr>
      </w:pPr>
      <w:r>
        <w:rPr>
          <w:rFonts w:ascii="Helvetica" w:hAnsi="Helvetica"/>
        </w:rPr>
        <w:t xml:space="preserve">Pressure is a normal part of life. Stress happens when the pressure we are under starts to exceed our </w:t>
      </w:r>
      <w:r w:rsidR="009F2EC6">
        <w:rPr>
          <w:rFonts w:ascii="Helvetica" w:hAnsi="Helvetica"/>
        </w:rPr>
        <w:t xml:space="preserve">capacity to cope. COVID-19 and the changes that have taken place over the past 18 months have created huge pressures in our personal and professional lives. As a line manager you can help mitigate the impact of pressure and help your staff avoid stress, burnout and illnesses resulting from work related stress. </w:t>
      </w:r>
    </w:p>
    <w:p w:rsidR="009F2EC6" w:rsidP="0042503C" w:rsidRDefault="009F2EC6">
      <w:pPr>
        <w:rPr>
          <w:rFonts w:ascii="Helvetica" w:hAnsi="Helvetica"/>
        </w:rPr>
      </w:pPr>
      <w:r>
        <w:rPr>
          <w:rFonts w:ascii="Helvetica" w:hAnsi="Helvetica"/>
          <w:b/>
          <w:color w:val="7030A0"/>
          <w:sz w:val="28"/>
        </w:rPr>
        <w:t xml:space="preserve">Your behaviour matters: </w:t>
      </w:r>
      <w:r>
        <w:rPr>
          <w:rFonts w:ascii="Helvetica" w:hAnsi="Helvetica"/>
        </w:rPr>
        <w:t>Manager competency managing stress has been found to influence the risk factors associated with stress at work</w:t>
      </w:r>
      <w:r>
        <w:rPr>
          <w:rStyle w:val="FootnoteReference"/>
          <w:rFonts w:ascii="Helvetica" w:hAnsi="Helvetica"/>
        </w:rPr>
        <w:footnoteReference w:id="6"/>
      </w:r>
      <w:r>
        <w:rPr>
          <w:rFonts w:ascii="Helvetica" w:hAnsi="Helvetica"/>
        </w:rPr>
        <w:t>. This includes being r</w:t>
      </w:r>
      <w:r w:rsidRPr="009F2EC6">
        <w:rPr>
          <w:rFonts w:ascii="Helvetica" w:hAnsi="Helvetica"/>
        </w:rPr>
        <w:t>espectful/</w:t>
      </w:r>
      <w:r>
        <w:rPr>
          <w:rFonts w:ascii="Helvetica" w:hAnsi="Helvetica"/>
        </w:rPr>
        <w:t>r</w:t>
      </w:r>
      <w:r w:rsidRPr="009F2EC6">
        <w:rPr>
          <w:rFonts w:ascii="Helvetica" w:hAnsi="Helvetica"/>
        </w:rPr>
        <w:t xml:space="preserve">esponsible; </w:t>
      </w:r>
      <w:r>
        <w:rPr>
          <w:rFonts w:ascii="Helvetica" w:hAnsi="Helvetica"/>
        </w:rPr>
        <w:t>m</w:t>
      </w:r>
      <w:r w:rsidRPr="009F2EC6">
        <w:rPr>
          <w:rFonts w:ascii="Helvetica" w:hAnsi="Helvetica"/>
        </w:rPr>
        <w:t xml:space="preserve">anaging and </w:t>
      </w:r>
      <w:r>
        <w:rPr>
          <w:rFonts w:ascii="Helvetica" w:hAnsi="Helvetica"/>
        </w:rPr>
        <w:t>c</w:t>
      </w:r>
      <w:r w:rsidRPr="009F2EC6">
        <w:rPr>
          <w:rFonts w:ascii="Helvetica" w:hAnsi="Helvetica"/>
        </w:rPr>
        <w:t xml:space="preserve">ommunicating </w:t>
      </w:r>
      <w:r>
        <w:rPr>
          <w:rFonts w:ascii="Helvetica" w:hAnsi="Helvetica"/>
        </w:rPr>
        <w:t>w</w:t>
      </w:r>
      <w:r w:rsidRPr="009F2EC6">
        <w:rPr>
          <w:rFonts w:ascii="Helvetica" w:hAnsi="Helvetica"/>
        </w:rPr>
        <w:t xml:space="preserve">ork; </w:t>
      </w:r>
      <w:r>
        <w:rPr>
          <w:rFonts w:ascii="Helvetica" w:hAnsi="Helvetica"/>
        </w:rPr>
        <w:t>m</w:t>
      </w:r>
      <w:r w:rsidRPr="009F2EC6">
        <w:rPr>
          <w:rFonts w:ascii="Helvetica" w:hAnsi="Helvetica"/>
        </w:rPr>
        <w:t xml:space="preserve">anaging </w:t>
      </w:r>
      <w:r>
        <w:rPr>
          <w:rFonts w:ascii="Helvetica" w:hAnsi="Helvetica"/>
        </w:rPr>
        <w:t>d</w:t>
      </w:r>
      <w:r w:rsidRPr="009F2EC6">
        <w:rPr>
          <w:rFonts w:ascii="Helvetica" w:hAnsi="Helvetica"/>
        </w:rPr>
        <w:t xml:space="preserve">ifficult </w:t>
      </w:r>
      <w:r>
        <w:rPr>
          <w:rFonts w:ascii="Helvetica" w:hAnsi="Helvetica"/>
        </w:rPr>
        <w:t>s</w:t>
      </w:r>
      <w:r w:rsidRPr="009F2EC6">
        <w:rPr>
          <w:rFonts w:ascii="Helvetica" w:hAnsi="Helvetica"/>
        </w:rPr>
        <w:t xml:space="preserve">ituations; </w:t>
      </w:r>
      <w:r>
        <w:rPr>
          <w:rFonts w:ascii="Helvetica" w:hAnsi="Helvetica"/>
        </w:rPr>
        <w:t>and managing individuals effectively.</w:t>
      </w:r>
      <w:r w:rsidR="00934827">
        <w:rPr>
          <w:rFonts w:ascii="Helvetica" w:hAnsi="Helvetica"/>
        </w:rPr>
        <w:t xml:space="preserve"> The Health &amp; Safety Executive have a free </w:t>
      </w:r>
      <w:hyperlink w:history="1" r:id="rId13">
        <w:r w:rsidRPr="00934827" w:rsidR="00934827">
          <w:rPr>
            <w:rStyle w:val="Hyperlink"/>
            <w:rFonts w:ascii="Helvetica" w:hAnsi="Helvetica"/>
          </w:rPr>
          <w:t>Stress management competency indicator tool</w:t>
        </w:r>
      </w:hyperlink>
      <w:r w:rsidR="00934827">
        <w:rPr>
          <w:rFonts w:ascii="Helvetica" w:hAnsi="Helvetica"/>
        </w:rPr>
        <w:t xml:space="preserve"> which can help you reflect and assess your behaviour.</w:t>
      </w:r>
    </w:p>
    <w:p w:rsidR="00934827" w:rsidP="0042503C" w:rsidRDefault="00934827">
      <w:pPr>
        <w:rPr>
          <w:rFonts w:ascii="Helvetica" w:hAnsi="Helvetica"/>
        </w:rPr>
      </w:pPr>
      <w:r w:rsidRPr="00934827">
        <w:rPr>
          <w:rFonts w:ascii="Helvetica" w:hAnsi="Helvetica"/>
          <w:b/>
          <w:color w:val="7030A0"/>
          <w:sz w:val="28"/>
        </w:rPr>
        <w:t>Help people process change:</w:t>
      </w:r>
      <w:r w:rsidRPr="00934827">
        <w:rPr>
          <w:rFonts w:ascii="Helvetica" w:hAnsi="Helvetica"/>
          <w:color w:val="7030A0"/>
          <w:sz w:val="28"/>
        </w:rPr>
        <w:t xml:space="preserve"> </w:t>
      </w:r>
      <w:r>
        <w:rPr>
          <w:rFonts w:ascii="Helvetica" w:hAnsi="Helvetica"/>
        </w:rPr>
        <w:t xml:space="preserve">It is normal for people to have a range of reactions to change, and many of these may be challenging and lead to resistance. For many </w:t>
      </w:r>
      <w:r w:rsidR="00954E62">
        <w:rPr>
          <w:rFonts w:ascii="Helvetica" w:hAnsi="Helvetica"/>
        </w:rPr>
        <w:t>staff their ability to process change effectively will be inhibited by the period of constant change and additional pressure we have been under.</w:t>
      </w:r>
      <w:r>
        <w:rPr>
          <w:rFonts w:ascii="Helvetica" w:hAnsi="Helvetica"/>
        </w:rPr>
        <w:t xml:space="preserve"> Remember that you can validate people’s emotions without agreeing with them, and </w:t>
      </w:r>
      <w:r w:rsidR="00954E62">
        <w:rPr>
          <w:rFonts w:ascii="Helvetica" w:hAnsi="Helvetica"/>
        </w:rPr>
        <w:t xml:space="preserve">taking time to listen and understand people’s concerns will help you support them to change where they need to. </w:t>
      </w:r>
    </w:p>
    <w:p w:rsidR="00954E62" w:rsidP="009C78A1" w:rsidRDefault="00243796">
      <w:pPr>
        <w:ind w:left="4395"/>
        <w:rPr>
          <w:rFonts w:ascii="Helvetica" w:hAnsi="Helvetica"/>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2642870" cy="1762125"/>
            <wp:effectExtent l="0" t="0" r="5080"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287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9D1" w:rsidR="00954E62">
        <w:rPr>
          <w:rFonts w:ascii="Helvetica" w:hAnsi="Helvetica"/>
          <w:b/>
          <w:color w:val="7030A0"/>
          <w:sz w:val="28"/>
        </w:rPr>
        <w:t>Consider Hybrid</w:t>
      </w:r>
      <w:r w:rsidRPr="000A59D1" w:rsidR="008B729D">
        <w:rPr>
          <w:rFonts w:ascii="Helvetica" w:hAnsi="Helvetica"/>
          <w:b/>
          <w:color w:val="7030A0"/>
          <w:sz w:val="28"/>
        </w:rPr>
        <w:t xml:space="preserve"> and Flexible </w:t>
      </w:r>
      <w:r w:rsidRPr="000A59D1" w:rsidR="00954E62">
        <w:rPr>
          <w:rFonts w:ascii="Helvetica" w:hAnsi="Helvetica"/>
          <w:b/>
          <w:color w:val="7030A0"/>
          <w:sz w:val="28"/>
        </w:rPr>
        <w:t>Working:</w:t>
      </w:r>
      <w:r w:rsidRPr="000A59D1" w:rsidR="00954E62">
        <w:rPr>
          <w:rFonts w:ascii="Helvetica" w:hAnsi="Helvetica"/>
          <w:color w:val="7030A0"/>
          <w:sz w:val="28"/>
        </w:rPr>
        <w:t xml:space="preserve"> </w:t>
      </w:r>
      <w:r w:rsidR="00954E62">
        <w:rPr>
          <w:rFonts w:ascii="Helvetica" w:hAnsi="Helvetica"/>
        </w:rPr>
        <w:t>Many staff will be considering how they want to work going forward</w:t>
      </w:r>
      <w:r w:rsidR="008B729D">
        <w:rPr>
          <w:rFonts w:ascii="Helvetica" w:hAnsi="Helvetica"/>
        </w:rPr>
        <w:t xml:space="preserve">, and it will be important to balance the needs of individuals against the needs of students and your service area. You must have a valid business reason for turning down a flexible working request, </w:t>
      </w:r>
      <w:r w:rsidR="000A59D1">
        <w:rPr>
          <w:rFonts w:ascii="Helvetica" w:hAnsi="Helvetica"/>
        </w:rPr>
        <w:t xml:space="preserve">and considering what your area needs ahead of time will help you manage flexible working </w:t>
      </w:r>
      <w:bookmarkStart w:name="_GoBack" w:id="0"/>
      <w:bookmarkEnd w:id="0"/>
      <w:r w:rsidR="000A59D1">
        <w:rPr>
          <w:rFonts w:ascii="Helvetica" w:hAnsi="Helvetica"/>
        </w:rPr>
        <w:t xml:space="preserve">requests smoothly. For more information see the Future of Work guidance </w:t>
      </w:r>
      <w:hyperlink w:history="1" r:id="rId15">
        <w:r w:rsidRPr="00A008A8" w:rsidR="000A59D1">
          <w:rPr>
            <w:rStyle w:val="Hyperlink"/>
            <w:rFonts w:ascii="Helvetica" w:hAnsi="Helvetica"/>
          </w:rPr>
          <w:t>here</w:t>
        </w:r>
      </w:hyperlink>
      <w:r w:rsidR="000A59D1">
        <w:rPr>
          <w:rFonts w:ascii="Helvetica" w:hAnsi="Helvetica"/>
        </w:rPr>
        <w:t xml:space="preserve">. </w:t>
      </w:r>
    </w:p>
    <w:p w:rsidRPr="009F2EC6" w:rsidR="000A59D1" w:rsidP="0042503C" w:rsidRDefault="000A59D1">
      <w:pPr>
        <w:rPr>
          <w:rFonts w:ascii="Helvetica" w:hAnsi="Helvetica"/>
        </w:rPr>
      </w:pPr>
      <w:r w:rsidRPr="00D7458A">
        <w:rPr>
          <w:rFonts w:ascii="Helvetica" w:hAnsi="Helvetica"/>
          <w:b/>
          <w:color w:val="7030A0"/>
          <w:sz w:val="28"/>
        </w:rPr>
        <w:t>Being back in the office:</w:t>
      </w:r>
      <w:r>
        <w:rPr>
          <w:rFonts w:ascii="Helvetica" w:hAnsi="Helvetica"/>
        </w:rPr>
        <w:t xml:space="preserve"> </w:t>
      </w:r>
      <w:r w:rsidR="00E976E2">
        <w:rPr>
          <w:rFonts w:ascii="Helvetica" w:hAnsi="Helvetica"/>
        </w:rPr>
        <w:t>M</w:t>
      </w:r>
      <w:r>
        <w:rPr>
          <w:rFonts w:ascii="Helvetica" w:hAnsi="Helvetica"/>
        </w:rPr>
        <w:t xml:space="preserve">any people will be excited about returning to the office, while others will be anxious. </w:t>
      </w:r>
      <w:r w:rsidR="00E976E2">
        <w:rPr>
          <w:rFonts w:ascii="Helvetica" w:hAnsi="Helvetica"/>
        </w:rPr>
        <w:t xml:space="preserve">Some people may have been on campus throughout, but have not had as many colleagues and students around them for some time. </w:t>
      </w:r>
      <w:r>
        <w:rPr>
          <w:rFonts w:ascii="Helvetica" w:hAnsi="Helvetica"/>
        </w:rPr>
        <w:t>For everyone it is a big change that will take time to adjust to</w:t>
      </w:r>
      <w:r w:rsidR="00E976E2">
        <w:rPr>
          <w:rFonts w:ascii="Helvetica" w:hAnsi="Helvetica"/>
        </w:rPr>
        <w:t>. Check in with how your staff are feeling, and consider ways to support them, such as phasing back into working on campus, or taking more frequent breaks during the day. Especially consider the impact of disabilities that might be impacted by a busy office environment</w:t>
      </w:r>
      <w:r w:rsidR="00D7458A">
        <w:rPr>
          <w:rFonts w:ascii="Helvetica" w:hAnsi="Helvetica"/>
        </w:rPr>
        <w:t xml:space="preserve">, or changes to their routine. See UCU report </w:t>
      </w:r>
      <w:hyperlink w:history="1" r:id="rId16">
        <w:r w:rsidRPr="00D7458A" w:rsidR="00D7458A">
          <w:rPr>
            <w:rStyle w:val="Hyperlink"/>
            <w:rFonts w:ascii="Helvetica" w:hAnsi="Helvetica"/>
          </w:rPr>
          <w:t>Disabled workers returning to work</w:t>
        </w:r>
      </w:hyperlink>
      <w:r w:rsidR="00E976E2">
        <w:rPr>
          <w:rFonts w:ascii="Helvetica" w:hAnsi="Helvetica"/>
        </w:rPr>
        <w:t xml:space="preserve"> </w:t>
      </w:r>
      <w:r w:rsidR="00D7458A">
        <w:rPr>
          <w:rFonts w:ascii="Helvetica" w:hAnsi="Helvetica"/>
        </w:rPr>
        <w:t>for more information.</w:t>
      </w:r>
    </w:p>
    <w:sectPr w:rsidRPr="009F2EC6" w:rsidR="000A59D1" w:rsidSect="00927B5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1B3" w:rsidRDefault="00E851B3" w:rsidP="00E851B3">
      <w:pPr>
        <w:spacing w:after="0" w:line="240" w:lineRule="auto"/>
      </w:pPr>
      <w:r>
        <w:separator/>
      </w:r>
    </w:p>
  </w:endnote>
  <w:endnote w:type="continuationSeparator" w:id="0">
    <w:p w:rsidR="00E851B3" w:rsidRDefault="00E851B3" w:rsidP="00E8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1B3" w:rsidRDefault="00E851B3" w:rsidP="00E851B3">
      <w:pPr>
        <w:spacing w:after="0" w:line="240" w:lineRule="auto"/>
      </w:pPr>
      <w:r>
        <w:separator/>
      </w:r>
    </w:p>
  </w:footnote>
  <w:footnote w:type="continuationSeparator" w:id="0">
    <w:p w:rsidR="00E851B3" w:rsidRDefault="00E851B3" w:rsidP="00E851B3">
      <w:pPr>
        <w:spacing w:after="0" w:line="240" w:lineRule="auto"/>
      </w:pPr>
      <w:r>
        <w:continuationSeparator/>
      </w:r>
    </w:p>
  </w:footnote>
  <w:footnote w:id="1">
    <w:p w:rsidR="005463C6" w:rsidRDefault="005463C6">
      <w:pPr>
        <w:pStyle w:val="FootnoteText"/>
      </w:pPr>
      <w:r>
        <w:rPr>
          <w:rStyle w:val="FootnoteReference"/>
        </w:rPr>
        <w:footnoteRef/>
      </w:r>
      <w:r>
        <w:t xml:space="preserve"> </w:t>
      </w:r>
      <w:hyperlink r:id="rId1" w:history="1">
        <w:r w:rsidRPr="005463C6">
          <w:rPr>
            <w:rStyle w:val="Hyperlink"/>
          </w:rPr>
          <w:t>Mind, The mental health emergency</w:t>
        </w:r>
      </w:hyperlink>
    </w:p>
  </w:footnote>
  <w:footnote w:id="2">
    <w:p w:rsidR="00E851B3" w:rsidRDefault="00E851B3">
      <w:pPr>
        <w:pStyle w:val="FootnoteText"/>
      </w:pPr>
      <w:r>
        <w:rPr>
          <w:rStyle w:val="FootnoteReference"/>
        </w:rPr>
        <w:footnoteRef/>
      </w:r>
      <w:r>
        <w:t xml:space="preserve"> </w:t>
      </w:r>
      <w:hyperlink r:id="rId2" w:history="1">
        <w:r w:rsidRPr="00E851B3">
          <w:rPr>
            <w:rStyle w:val="Hyperlink"/>
          </w:rPr>
          <w:t>ONS, Coronavirus and depression in adults, Great Britain: January to March 2021</w:t>
        </w:r>
      </w:hyperlink>
    </w:p>
  </w:footnote>
  <w:footnote w:id="3">
    <w:p w:rsidR="00F35AB8" w:rsidRDefault="00F35AB8">
      <w:pPr>
        <w:pStyle w:val="FootnoteText"/>
      </w:pPr>
      <w:r>
        <w:rPr>
          <w:rStyle w:val="FootnoteReference"/>
        </w:rPr>
        <w:footnoteRef/>
      </w:r>
      <w:r>
        <w:t xml:space="preserve"> </w:t>
      </w:r>
      <w:hyperlink r:id="rId3" w:history="1">
        <w:r w:rsidRPr="00F35AB8">
          <w:rPr>
            <w:rStyle w:val="Hyperlink"/>
          </w:rPr>
          <w:t>HSE, Work-related stress, anxiety or depression statistics in Great Britain, 2020</w:t>
        </w:r>
      </w:hyperlink>
    </w:p>
  </w:footnote>
  <w:footnote w:id="4">
    <w:p w:rsidR="00B803C2" w:rsidRDefault="00B803C2" w:rsidP="00B803C2">
      <w:pPr>
        <w:pStyle w:val="FootnoteText"/>
      </w:pPr>
      <w:r>
        <w:rPr>
          <w:rStyle w:val="FootnoteReference"/>
        </w:rPr>
        <w:footnoteRef/>
      </w:r>
      <w:r>
        <w:t xml:space="preserve"> </w:t>
      </w:r>
      <w:hyperlink r:id="rId4" w:history="1">
        <w:r w:rsidRPr="00B803C2">
          <w:rPr>
            <w:rStyle w:val="Hyperlink"/>
          </w:rPr>
          <w:t>HSE, Potential impact of COVID-19 on HSE’s main statistical data sources in 2019/20</w:t>
        </w:r>
      </w:hyperlink>
    </w:p>
  </w:footnote>
  <w:footnote w:id="5">
    <w:p w:rsidR="00B803C2" w:rsidRDefault="00B803C2">
      <w:pPr>
        <w:pStyle w:val="FootnoteText"/>
      </w:pPr>
      <w:r>
        <w:rPr>
          <w:rStyle w:val="FootnoteReference"/>
        </w:rPr>
        <w:footnoteRef/>
      </w:r>
      <w:r>
        <w:t xml:space="preserve"> </w:t>
      </w:r>
      <w:hyperlink r:id="rId5" w:history="1">
        <w:r w:rsidRPr="00B803C2">
          <w:rPr>
            <w:rStyle w:val="Hyperlink"/>
          </w:rPr>
          <w:t>HSE, Work-related stress and how to tackle it</w:t>
        </w:r>
      </w:hyperlink>
    </w:p>
  </w:footnote>
  <w:footnote w:id="6">
    <w:p w:rsidR="009F2EC6" w:rsidRDefault="009F2EC6">
      <w:pPr>
        <w:pStyle w:val="FootnoteText"/>
      </w:pPr>
      <w:r>
        <w:rPr>
          <w:rStyle w:val="FootnoteReference"/>
        </w:rPr>
        <w:footnoteRef/>
      </w:r>
      <w:r>
        <w:t xml:space="preserve"> </w:t>
      </w:r>
      <w:proofErr w:type="spellStart"/>
      <w:r>
        <w:t>Toderi</w:t>
      </w:r>
      <w:proofErr w:type="spellEnd"/>
      <w:r>
        <w:t xml:space="preserve"> S, </w:t>
      </w:r>
      <w:proofErr w:type="spellStart"/>
      <w:r>
        <w:t>Sarchielli</w:t>
      </w:r>
      <w:proofErr w:type="spellEnd"/>
      <w:r>
        <w:t xml:space="preserve"> G. Psychometric Properties of a 36-Item Version of the “Stress Management Competency Indicator Tool”. </w:t>
      </w:r>
      <w:r>
        <w:rPr>
          <w:rStyle w:val="Emphasis"/>
        </w:rPr>
        <w:t>International Journal of Environmental Research and Public Health</w:t>
      </w:r>
      <w:r>
        <w:t xml:space="preserve">. 2016; 13(11):1086. </w:t>
      </w:r>
      <w:hyperlink r:id="rId6" w:history="1">
        <w:r w:rsidRPr="00335B0E">
          <w:rPr>
            <w:rStyle w:val="Hyperlink"/>
          </w:rPr>
          <w:t>https://doi.org/10.3390/ijerph13111086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BF0"/>
    <w:multiLevelType w:val="hybridMultilevel"/>
    <w:tmpl w:val="01A8E4D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7C411757"/>
    <w:multiLevelType w:val="hybridMultilevel"/>
    <w:tmpl w:val="3730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2A"/>
    <w:rsid w:val="000A59D1"/>
    <w:rsid w:val="00243796"/>
    <w:rsid w:val="00371352"/>
    <w:rsid w:val="0042503C"/>
    <w:rsid w:val="004B63B3"/>
    <w:rsid w:val="005463C6"/>
    <w:rsid w:val="00637EDC"/>
    <w:rsid w:val="00673E97"/>
    <w:rsid w:val="00736BF2"/>
    <w:rsid w:val="007F057C"/>
    <w:rsid w:val="008B729D"/>
    <w:rsid w:val="00927B53"/>
    <w:rsid w:val="00934827"/>
    <w:rsid w:val="00954E62"/>
    <w:rsid w:val="0096673F"/>
    <w:rsid w:val="009C78A1"/>
    <w:rsid w:val="009F2EC6"/>
    <w:rsid w:val="00A008A8"/>
    <w:rsid w:val="00B01E2A"/>
    <w:rsid w:val="00B803C2"/>
    <w:rsid w:val="00B902CF"/>
    <w:rsid w:val="00D7458A"/>
    <w:rsid w:val="00E21739"/>
    <w:rsid w:val="00E851B3"/>
    <w:rsid w:val="00E976E2"/>
    <w:rsid w:val="00EF41BB"/>
    <w:rsid w:val="00F35AB8"/>
    <w:rsid w:val="00F4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4292"/>
  <w15:chartTrackingRefBased/>
  <w15:docId w15:val="{FD1B63EC-B5F6-4FF5-8B9C-39273F15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E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3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E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1E2A"/>
    <w:rPr>
      <w:color w:val="0000FF"/>
      <w:u w:val="single"/>
    </w:rPr>
  </w:style>
  <w:style w:type="character" w:customStyle="1" w:styleId="Heading1Char">
    <w:name w:val="Heading 1 Char"/>
    <w:basedOn w:val="DefaultParagraphFont"/>
    <w:link w:val="Heading1"/>
    <w:uiPriority w:val="9"/>
    <w:rsid w:val="00B01E2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E85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1B3"/>
    <w:rPr>
      <w:sz w:val="20"/>
      <w:szCs w:val="20"/>
    </w:rPr>
  </w:style>
  <w:style w:type="character" w:styleId="FootnoteReference">
    <w:name w:val="footnote reference"/>
    <w:basedOn w:val="DefaultParagraphFont"/>
    <w:uiPriority w:val="99"/>
    <w:semiHidden/>
    <w:unhideWhenUsed/>
    <w:rsid w:val="00E851B3"/>
    <w:rPr>
      <w:vertAlign w:val="superscript"/>
    </w:rPr>
  </w:style>
  <w:style w:type="character" w:styleId="UnresolvedMention">
    <w:name w:val="Unresolved Mention"/>
    <w:basedOn w:val="DefaultParagraphFont"/>
    <w:uiPriority w:val="99"/>
    <w:semiHidden/>
    <w:unhideWhenUsed/>
    <w:rsid w:val="00E851B3"/>
    <w:rPr>
      <w:color w:val="605E5C"/>
      <w:shd w:val="clear" w:color="auto" w:fill="E1DFDD"/>
    </w:rPr>
  </w:style>
  <w:style w:type="paragraph" w:styleId="ListParagraph">
    <w:name w:val="List Paragraph"/>
    <w:basedOn w:val="Normal"/>
    <w:uiPriority w:val="34"/>
    <w:qFormat/>
    <w:rsid w:val="00927B53"/>
    <w:pPr>
      <w:ind w:left="720"/>
      <w:contextualSpacing/>
    </w:pPr>
  </w:style>
  <w:style w:type="paragraph" w:styleId="Caption">
    <w:name w:val="caption"/>
    <w:basedOn w:val="Normal"/>
    <w:next w:val="Normal"/>
    <w:uiPriority w:val="35"/>
    <w:unhideWhenUsed/>
    <w:qFormat/>
    <w:rsid w:val="00B902CF"/>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803C2"/>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F2E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4912">
      <w:bodyDiv w:val="1"/>
      <w:marLeft w:val="0"/>
      <w:marRight w:val="0"/>
      <w:marTop w:val="0"/>
      <w:marBottom w:val="0"/>
      <w:divBdr>
        <w:top w:val="none" w:sz="0" w:space="0" w:color="auto"/>
        <w:left w:val="none" w:sz="0" w:space="0" w:color="auto"/>
        <w:bottom w:val="none" w:sz="0" w:space="0" w:color="auto"/>
        <w:right w:val="none" w:sz="0" w:space="0" w:color="auto"/>
      </w:divBdr>
    </w:div>
    <w:div w:id="1489591659">
      <w:bodyDiv w:val="1"/>
      <w:marLeft w:val="0"/>
      <w:marRight w:val="0"/>
      <w:marTop w:val="0"/>
      <w:marBottom w:val="0"/>
      <w:divBdr>
        <w:top w:val="none" w:sz="0" w:space="0" w:color="auto"/>
        <w:left w:val="none" w:sz="0" w:space="0" w:color="auto"/>
        <w:bottom w:val="none" w:sz="0" w:space="0" w:color="auto"/>
        <w:right w:val="none" w:sz="0" w:space="0" w:color="auto"/>
      </w:divBdr>
    </w:div>
    <w:div w:id="21161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healthandsocialcare/healthandwellbeing/bulletins/coronavirusandthesocialimpactsongreatbritain/19march2021" TargetMode="External"/><Relationship Id="rId13" Type="http://schemas.openxmlformats.org/officeDocument/2006/relationships/hyperlink" Target="https://www.hse.gov.uk/stress/mci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cu.org.uk/media/11157/Return-to-work---information-sheet-LP/pdf/Return_to_work_-_information_sheet_L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balls.com/change-management/personal-change-stages-john-fisher/" TargetMode="External"/><Relationship Id="rId5" Type="http://schemas.openxmlformats.org/officeDocument/2006/relationships/webSettings" Target="webSettings.xml"/><Relationship Id="rId15" Type="http://schemas.openxmlformats.org/officeDocument/2006/relationships/hyperlink" Target="https://www.stmarys.ac.uk/announcements/2021/06/future-of-work-guidance" TargetMode="External"/><Relationship Id="rId10" Type="http://schemas.openxmlformats.org/officeDocument/2006/relationships/hyperlink" Target="https://www.businessballs.com/change-management/personal-change-stages-john-fish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hse.gov.uk/statistics/causdis/stress.pdf" TargetMode="External"/><Relationship Id="rId2" Type="http://schemas.openxmlformats.org/officeDocument/2006/relationships/hyperlink" Target="https://www.ons.gov.uk/peoplepopulationandcommunity/wellbeing/articles/coronavirusanddepressioninadultsgreatbritain/januarytomarch2021" TargetMode="External"/><Relationship Id="rId1" Type="http://schemas.openxmlformats.org/officeDocument/2006/relationships/hyperlink" Target="https://www.mind.org.uk/media-a/5929/the-mental-health-emergency_a4_final.pdf" TargetMode="External"/><Relationship Id="rId6" Type="http://schemas.openxmlformats.org/officeDocument/2006/relationships/hyperlink" Target="https://doi.org/10.3390/ijerph13111086" TargetMode="External"/><Relationship Id="rId5" Type="http://schemas.openxmlformats.org/officeDocument/2006/relationships/hyperlink" Target="https://www.hse.gov.uk/stress/what-to-do.htm" TargetMode="External"/><Relationship Id="rId4" Type="http://schemas.openxmlformats.org/officeDocument/2006/relationships/hyperlink" Target="https://www.hse.gov.uk/statistics/adhoc-analysis/covid19-impact1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1972-8DCA-4380-A059-7AB923C8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Briefing on COVID-19 and Mental Health</dc:title>
  <dc:subject>Manager briefing COVID-19 and mental health</dc:subject>
  <dc:creator>Maria Stopyra</dc:creator>
  <cp:keywords>
  </cp:keywords>
  <dc:description>
  </dc:description>
  <cp:lastModifiedBy>Maria Stopyra</cp:lastModifiedBy>
  <cp:revision>7</cp:revision>
  <dcterms:created xsi:type="dcterms:W3CDTF">2021-08-25T15:56:00Z</dcterms:created>
  <dcterms:modified xsi:type="dcterms:W3CDTF">2021-09-08T08:22:08Z</dcterms:modified>
</cp:coreProperties>
</file>