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B14E3" w:rsidR="00F6205B" w:rsidP="001B14E3" w:rsidRDefault="0072311B" w14:paraId="13FE8307" w14:textId="77777777">
      <w:pPr>
        <w:jc w:val="center"/>
        <w:rPr>
          <w:b/>
        </w:rPr>
      </w:pPr>
      <w:r w:rsidRPr="001B14E3">
        <w:rPr>
          <w:b/>
        </w:rPr>
        <w:t>Data Governance Group</w:t>
      </w:r>
    </w:p>
    <w:p w:rsidR="0072311B" w:rsidP="00D224C9" w:rsidRDefault="0072311B" w14:paraId="44BAE49C" w14:textId="6953F710">
      <w:r w:rsidRPr="00D224C9">
        <w:rPr>
          <w:b/>
          <w:u w:val="single"/>
        </w:rPr>
        <w:t>Terms of Reference</w:t>
      </w:r>
      <w:r>
        <w:t xml:space="preserve"> </w:t>
      </w:r>
    </w:p>
    <w:p w:rsidR="0072311B" w:rsidP="003E3B78" w:rsidRDefault="0072311B" w14:paraId="50E100CC" w14:textId="77777777">
      <w:pPr>
        <w:pStyle w:val="Default"/>
        <w:numPr>
          <w:ilvl w:val="0"/>
          <w:numId w:val="1"/>
        </w:numPr>
        <w:spacing w:after="120"/>
        <w:ind w:left="426" w:hanging="357"/>
        <w:rPr>
          <w:sz w:val="22"/>
          <w:szCs w:val="22"/>
        </w:rPr>
      </w:pPr>
      <w:r>
        <w:rPr>
          <w:sz w:val="22"/>
          <w:szCs w:val="22"/>
        </w:rPr>
        <w:t>Maintain and update the University’s Data Governance Policy and oversee the implementation and adherence to the policy</w:t>
      </w:r>
    </w:p>
    <w:p w:rsidR="0072311B" w:rsidP="003E3B78" w:rsidRDefault="0072311B" w14:paraId="62E880ED" w14:textId="77777777">
      <w:pPr>
        <w:pStyle w:val="Default"/>
        <w:numPr>
          <w:ilvl w:val="0"/>
          <w:numId w:val="1"/>
        </w:numPr>
        <w:spacing w:after="120"/>
        <w:ind w:left="426" w:hanging="357"/>
        <w:rPr>
          <w:sz w:val="22"/>
          <w:szCs w:val="22"/>
        </w:rPr>
      </w:pPr>
      <w:r>
        <w:rPr>
          <w:sz w:val="22"/>
          <w:szCs w:val="22"/>
        </w:rPr>
        <w:t xml:space="preserve">Assign relevant roles within the Data Governance Policy and ensure that the relevant resources and training are available to role holders </w:t>
      </w:r>
    </w:p>
    <w:p w:rsidR="0072311B" w:rsidP="003E3B78" w:rsidRDefault="0072311B" w14:paraId="0CA6F6BE" w14:textId="77777777">
      <w:pPr>
        <w:pStyle w:val="Default"/>
        <w:numPr>
          <w:ilvl w:val="0"/>
          <w:numId w:val="1"/>
        </w:numPr>
        <w:spacing w:after="120"/>
        <w:ind w:left="426" w:hanging="357"/>
        <w:rPr>
          <w:sz w:val="22"/>
          <w:szCs w:val="22"/>
        </w:rPr>
      </w:pPr>
      <w:r>
        <w:rPr>
          <w:sz w:val="22"/>
          <w:szCs w:val="22"/>
        </w:rPr>
        <w:t>Receive regular reports of data issues highlighted and the status of these, escalating issues that are not resolved satisfactorily in a timely manner.</w:t>
      </w:r>
    </w:p>
    <w:p w:rsidR="0072311B" w:rsidP="003E3B78" w:rsidRDefault="0072311B" w14:paraId="7C54870D" w14:textId="77777777">
      <w:pPr>
        <w:pStyle w:val="Default"/>
        <w:numPr>
          <w:ilvl w:val="0"/>
          <w:numId w:val="1"/>
        </w:numPr>
        <w:spacing w:after="120"/>
        <w:ind w:left="426" w:hanging="357"/>
        <w:rPr>
          <w:sz w:val="22"/>
          <w:szCs w:val="22"/>
        </w:rPr>
      </w:pPr>
      <w:r>
        <w:rPr>
          <w:sz w:val="22"/>
          <w:szCs w:val="22"/>
        </w:rPr>
        <w:t xml:space="preserve">Initiate and oversee the development of a defined and consistent set of procedures for data quality, and a plan to execute those procedures by relevant departments </w:t>
      </w:r>
    </w:p>
    <w:p w:rsidR="00C70B3B" w:rsidP="003E3B78" w:rsidRDefault="00C70B3B" w14:paraId="51CDE81F" w14:textId="77777777">
      <w:pPr>
        <w:pStyle w:val="Default"/>
        <w:numPr>
          <w:ilvl w:val="0"/>
          <w:numId w:val="1"/>
        </w:numPr>
        <w:spacing w:after="120"/>
        <w:ind w:left="426" w:hanging="357"/>
        <w:rPr>
          <w:sz w:val="22"/>
          <w:szCs w:val="22"/>
        </w:rPr>
      </w:pPr>
      <w:r>
        <w:rPr>
          <w:sz w:val="22"/>
          <w:szCs w:val="22"/>
        </w:rPr>
        <w:t>Embed good data management practices across the University</w:t>
      </w:r>
    </w:p>
    <w:p w:rsidR="0072311B" w:rsidP="003E3B78" w:rsidRDefault="0072311B" w14:paraId="634EC467" w14:textId="77777777">
      <w:pPr>
        <w:pStyle w:val="Default"/>
        <w:numPr>
          <w:ilvl w:val="0"/>
          <w:numId w:val="1"/>
        </w:numPr>
        <w:spacing w:after="120"/>
        <w:ind w:left="426" w:hanging="357"/>
        <w:rPr>
          <w:sz w:val="22"/>
          <w:szCs w:val="22"/>
        </w:rPr>
      </w:pPr>
      <w:r>
        <w:rPr>
          <w:sz w:val="22"/>
          <w:szCs w:val="22"/>
        </w:rPr>
        <w:t>Development of a communications plan to promote understanding of data governance and the benefits of implementing good data governance practices</w:t>
      </w:r>
    </w:p>
    <w:p w:rsidR="0072311B" w:rsidP="003E3B78" w:rsidRDefault="0072311B" w14:paraId="5FD186C5" w14:textId="1F1811A6">
      <w:pPr>
        <w:pStyle w:val="Default"/>
        <w:numPr>
          <w:ilvl w:val="0"/>
          <w:numId w:val="1"/>
        </w:numPr>
        <w:spacing w:after="120"/>
        <w:ind w:left="426" w:hanging="357"/>
        <w:rPr>
          <w:sz w:val="22"/>
          <w:szCs w:val="22"/>
        </w:rPr>
      </w:pPr>
      <w:r>
        <w:rPr>
          <w:sz w:val="22"/>
          <w:szCs w:val="22"/>
        </w:rPr>
        <w:t>Benchmark the University’s practices on data governance against best practice and prioritise actions for improvement</w:t>
      </w:r>
    </w:p>
    <w:p w:rsidR="009B60E6" w:rsidP="003E3B78" w:rsidRDefault="009B60E6" w14:paraId="7969CFC3" w14:textId="358EB61F">
      <w:pPr>
        <w:pStyle w:val="Default"/>
        <w:numPr>
          <w:ilvl w:val="0"/>
          <w:numId w:val="1"/>
        </w:numPr>
        <w:spacing w:after="120"/>
        <w:ind w:left="426" w:hanging="357"/>
        <w:rPr>
          <w:sz w:val="22"/>
          <w:szCs w:val="22"/>
        </w:rPr>
      </w:pPr>
      <w:r>
        <w:rPr>
          <w:sz w:val="22"/>
          <w:szCs w:val="22"/>
        </w:rPr>
        <w:t>Oversee implementation of the Student Data Journey Review</w:t>
      </w:r>
    </w:p>
    <w:p w:rsidR="00FB3216" w:rsidP="003E3B78" w:rsidRDefault="00FB3216" w14:paraId="042C2E3A" w14:textId="77777777">
      <w:pPr>
        <w:pStyle w:val="Default"/>
        <w:numPr>
          <w:ilvl w:val="0"/>
          <w:numId w:val="1"/>
        </w:numPr>
        <w:spacing w:after="120"/>
        <w:ind w:left="426" w:hanging="357"/>
        <w:rPr>
          <w:sz w:val="22"/>
          <w:szCs w:val="22"/>
        </w:rPr>
      </w:pPr>
      <w:r>
        <w:rPr>
          <w:sz w:val="22"/>
          <w:szCs w:val="22"/>
        </w:rPr>
        <w:t>Receive regular reports on strategic projects which have a data aspect (i.e. SRS, BI tool) and provide recommendations for project boards to consider</w:t>
      </w:r>
    </w:p>
    <w:p w:rsidR="00C70B3B" w:rsidP="003E3B78" w:rsidRDefault="00C70B3B" w14:paraId="2DF627CF" w14:textId="77777777">
      <w:pPr>
        <w:pStyle w:val="Default"/>
        <w:numPr>
          <w:ilvl w:val="0"/>
          <w:numId w:val="1"/>
        </w:numPr>
        <w:spacing w:after="120"/>
        <w:ind w:left="426" w:hanging="357"/>
        <w:rPr>
          <w:sz w:val="22"/>
          <w:szCs w:val="22"/>
        </w:rPr>
      </w:pPr>
      <w:r>
        <w:rPr>
          <w:sz w:val="22"/>
          <w:szCs w:val="22"/>
        </w:rPr>
        <w:t>Agree standard data definitions, data flows and standard reporting protocols which should be utilised across the University</w:t>
      </w:r>
    </w:p>
    <w:p w:rsidR="0072311B" w:rsidP="003E3B78" w:rsidRDefault="00C70B3B" w14:paraId="576207A4" w14:textId="5CEBA51D">
      <w:pPr>
        <w:pStyle w:val="Default"/>
        <w:numPr>
          <w:ilvl w:val="0"/>
          <w:numId w:val="1"/>
        </w:numPr>
        <w:spacing w:after="120"/>
        <w:ind w:left="426" w:hanging="357"/>
        <w:rPr>
          <w:sz w:val="22"/>
          <w:szCs w:val="22"/>
        </w:rPr>
      </w:pPr>
      <w:r>
        <w:rPr>
          <w:sz w:val="22"/>
          <w:szCs w:val="22"/>
        </w:rPr>
        <w:t>Agree an appropriate sign off procedure for external data returns</w:t>
      </w:r>
    </w:p>
    <w:p w:rsidR="00C70B3B" w:rsidP="003E3B78" w:rsidRDefault="00C70B3B" w14:paraId="66CBF771" w14:textId="3BDA50AE">
      <w:pPr>
        <w:pStyle w:val="Default"/>
        <w:numPr>
          <w:ilvl w:val="0"/>
          <w:numId w:val="1"/>
        </w:numPr>
        <w:spacing w:after="120"/>
        <w:ind w:left="426" w:hanging="357"/>
        <w:rPr>
          <w:sz w:val="22"/>
          <w:szCs w:val="22"/>
        </w:rPr>
      </w:pPr>
      <w:r>
        <w:rPr>
          <w:sz w:val="22"/>
          <w:szCs w:val="22"/>
        </w:rPr>
        <w:t>Review the University’s current data capability maturity level (in line with the Higher Education Data and Information Improvement Programme – HEDIIP) and agree an action plan to move to the next level</w:t>
      </w:r>
    </w:p>
    <w:p w:rsidR="00907E67" w:rsidP="003E3B78" w:rsidRDefault="00907E67" w14:paraId="415604B1" w14:textId="28A0B47C">
      <w:pPr>
        <w:pStyle w:val="Default"/>
        <w:numPr>
          <w:ilvl w:val="0"/>
          <w:numId w:val="1"/>
        </w:numPr>
        <w:spacing w:after="120"/>
        <w:ind w:left="426" w:hanging="357"/>
        <w:rPr>
          <w:sz w:val="22"/>
          <w:szCs w:val="22"/>
        </w:rPr>
      </w:pPr>
      <w:r>
        <w:rPr>
          <w:sz w:val="22"/>
          <w:szCs w:val="22"/>
        </w:rPr>
        <w:t>Develop a University-wide data strategy</w:t>
      </w:r>
    </w:p>
    <w:p w:rsidR="00C70B3B" w:rsidP="003E3B78" w:rsidRDefault="00C70B3B" w14:paraId="39E0943A" w14:textId="77777777">
      <w:pPr>
        <w:pStyle w:val="Default"/>
        <w:numPr>
          <w:ilvl w:val="0"/>
          <w:numId w:val="1"/>
        </w:numPr>
        <w:spacing w:after="120"/>
        <w:ind w:left="426" w:hanging="357"/>
        <w:rPr>
          <w:sz w:val="22"/>
          <w:szCs w:val="22"/>
        </w:rPr>
      </w:pPr>
      <w:r>
        <w:rPr>
          <w:sz w:val="22"/>
          <w:szCs w:val="22"/>
        </w:rPr>
        <w:t>Provide the Audit Committee with assurance</w:t>
      </w:r>
      <w:r w:rsidR="001B14E3">
        <w:rPr>
          <w:sz w:val="22"/>
          <w:szCs w:val="22"/>
        </w:rPr>
        <w:t xml:space="preserve"> in relation to data quality</w:t>
      </w:r>
    </w:p>
    <w:p w:rsidR="001B14E3" w:rsidP="003E3B78" w:rsidRDefault="001B14E3" w14:paraId="77A3374E" w14:textId="1729F725">
      <w:pPr>
        <w:pStyle w:val="Default"/>
        <w:numPr>
          <w:ilvl w:val="0"/>
          <w:numId w:val="1"/>
        </w:numPr>
        <w:spacing w:after="120"/>
        <w:ind w:left="426" w:hanging="357"/>
        <w:rPr>
          <w:sz w:val="22"/>
          <w:szCs w:val="22"/>
        </w:rPr>
      </w:pPr>
      <w:r w:rsidRPr="001B14E3">
        <w:rPr>
          <w:sz w:val="22"/>
          <w:szCs w:val="22"/>
        </w:rPr>
        <w:t>Ensuring that the progress of St Mary’s compliance with GDPR legislation moves forward at an appropriate rate</w:t>
      </w:r>
    </w:p>
    <w:p w:rsidR="003E3B78" w:rsidP="003E3B78" w:rsidRDefault="003E3B78" w14:paraId="19E7885A" w14:textId="6BCE2408">
      <w:pPr>
        <w:pStyle w:val="Default"/>
        <w:numPr>
          <w:ilvl w:val="0"/>
          <w:numId w:val="1"/>
        </w:numPr>
        <w:spacing w:after="120"/>
        <w:ind w:left="426" w:hanging="357"/>
        <w:rPr>
          <w:sz w:val="22"/>
          <w:szCs w:val="22"/>
        </w:rPr>
      </w:pPr>
      <w:r>
        <w:rPr>
          <w:sz w:val="22"/>
          <w:szCs w:val="22"/>
        </w:rPr>
        <w:t>Receive reports from the Data Protection Officer on data breaches and other related matters</w:t>
      </w:r>
    </w:p>
    <w:p w:rsidRPr="001B14E3" w:rsidR="003E3B78" w:rsidP="003E3B78" w:rsidRDefault="003E3B78" w14:paraId="5E494097" w14:textId="23FE515F">
      <w:pPr>
        <w:pStyle w:val="Default"/>
        <w:numPr>
          <w:ilvl w:val="0"/>
          <w:numId w:val="1"/>
        </w:numPr>
        <w:spacing w:after="120"/>
        <w:ind w:left="426" w:hanging="357"/>
        <w:rPr>
          <w:sz w:val="22"/>
          <w:szCs w:val="22"/>
        </w:rPr>
      </w:pPr>
      <w:r>
        <w:rPr>
          <w:sz w:val="22"/>
          <w:szCs w:val="22"/>
        </w:rPr>
        <w:t>Receive regular update from the SITS User Group with issues requiring decision or resolution being made by</w:t>
      </w:r>
      <w:bookmarkStart w:name="_GoBack" w:id="0"/>
      <w:bookmarkEnd w:id="0"/>
      <w:r>
        <w:rPr>
          <w:sz w:val="22"/>
          <w:szCs w:val="22"/>
        </w:rPr>
        <w:t xml:space="preserve"> the DGG.</w:t>
      </w:r>
    </w:p>
    <w:p w:rsidR="0008322C" w:rsidRDefault="0008322C" w14:paraId="06846836" w14:textId="77777777">
      <w:pPr>
        <w:rPr>
          <w:b/>
          <w:u w:val="single"/>
        </w:rPr>
      </w:pPr>
    </w:p>
    <w:p w:rsidRPr="009B60E6" w:rsidR="00D224C9" w:rsidRDefault="0072311B" w14:paraId="30365B51" w14:textId="3652188B">
      <w:pPr>
        <w:rPr>
          <w:b/>
          <w:u w:val="single"/>
        </w:rPr>
      </w:pPr>
      <w:r w:rsidRPr="009B60E6">
        <w:rPr>
          <w:b/>
          <w:u w:val="single"/>
        </w:rPr>
        <w:t>Report</w:t>
      </w:r>
      <w:r w:rsidRPr="009B60E6" w:rsidR="00D224C9">
        <w:rPr>
          <w:b/>
          <w:u w:val="single"/>
        </w:rPr>
        <w:t>ing line</w:t>
      </w:r>
      <w:r w:rsidR="0008322C">
        <w:rPr>
          <w:b/>
          <w:u w:val="single"/>
        </w:rPr>
        <w:t>s</w:t>
      </w:r>
    </w:p>
    <w:p w:rsidR="0072311B" w:rsidRDefault="0008322C" w14:paraId="292AFE27" w14:textId="1368445F">
      <w:r w:rsidRPr="0008322C">
        <w:rPr>
          <w:i/>
        </w:rPr>
        <w:t>Reports to:</w:t>
      </w:r>
      <w:r>
        <w:t xml:space="preserve"> </w:t>
      </w:r>
      <w:r w:rsidR="0072311B">
        <w:t>University Executive Committee and provides updates to the Audit Committee as appropriate</w:t>
      </w:r>
    </w:p>
    <w:p w:rsidR="0008322C" w:rsidRDefault="0008322C" w14:paraId="22139CDF" w14:textId="56E7B476">
      <w:r w:rsidRPr="0008322C">
        <w:rPr>
          <w:i/>
        </w:rPr>
        <w:t>Receives reports from:</w:t>
      </w:r>
      <w:r>
        <w:t xml:space="preserve"> SITS User Group, BI &amp; Reporting Project Board, GDPR Working Group</w:t>
      </w:r>
    </w:p>
    <w:p w:rsidR="003E3B78" w:rsidRDefault="003E3B78" w14:paraId="33E48A3F" w14:textId="77777777">
      <w:pPr>
        <w:rPr>
          <w:b/>
          <w:u w:val="single"/>
        </w:rPr>
      </w:pPr>
    </w:p>
    <w:p w:rsidR="003E3B78" w:rsidRDefault="003E3B78" w14:paraId="302B2643" w14:textId="77777777">
      <w:pPr>
        <w:rPr>
          <w:b/>
          <w:u w:val="single"/>
        </w:rPr>
      </w:pPr>
    </w:p>
    <w:p w:rsidR="003E3B78" w:rsidRDefault="003E3B78" w14:paraId="5A7F962E" w14:textId="77777777">
      <w:pPr>
        <w:rPr>
          <w:b/>
          <w:u w:val="single"/>
        </w:rPr>
      </w:pPr>
    </w:p>
    <w:p w:rsidR="0072311B" w:rsidRDefault="0072311B" w14:paraId="7164E293" w14:textId="02679303">
      <w:pPr>
        <w:rPr>
          <w:b/>
          <w:u w:val="single"/>
        </w:rPr>
      </w:pPr>
      <w:r w:rsidRPr="009B60E6">
        <w:rPr>
          <w:b/>
          <w:u w:val="single"/>
        </w:rPr>
        <w:t>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8322C" w:rsidTr="003E3B78" w14:paraId="481804A1" w14:textId="77777777">
        <w:tc>
          <w:tcPr>
            <w:tcW w:w="3823" w:type="dxa"/>
          </w:tcPr>
          <w:p w:rsidRPr="0008322C" w:rsidR="0008322C" w:rsidRDefault="0008322C" w14:paraId="73805067" w14:textId="5D0023BE">
            <w:r w:rsidRPr="0008322C">
              <w:t>Chair</w:t>
            </w:r>
          </w:p>
        </w:tc>
        <w:tc>
          <w:tcPr>
            <w:tcW w:w="5193" w:type="dxa"/>
          </w:tcPr>
          <w:p w:rsidRPr="0008322C" w:rsidR="0008322C" w:rsidRDefault="0008322C" w14:paraId="1C9981DF" w14:textId="1847E522">
            <w:r w:rsidRPr="0008322C">
              <w:t>Chief Operating Officer</w:t>
            </w:r>
          </w:p>
        </w:tc>
      </w:tr>
      <w:tr w:rsidR="0008322C" w:rsidTr="003E3B78" w14:paraId="318405C8" w14:textId="77777777">
        <w:tc>
          <w:tcPr>
            <w:tcW w:w="3823" w:type="dxa"/>
            <w:vMerge w:val="restart"/>
          </w:tcPr>
          <w:p w:rsidRPr="0008322C" w:rsidR="0008322C" w:rsidRDefault="0008322C" w14:paraId="5C766C4E" w14:textId="6742A004">
            <w:r>
              <w:t>Data Owners</w:t>
            </w:r>
          </w:p>
        </w:tc>
        <w:tc>
          <w:tcPr>
            <w:tcW w:w="5193" w:type="dxa"/>
          </w:tcPr>
          <w:p w:rsidRPr="0008322C" w:rsidR="0008322C" w:rsidRDefault="0008322C" w14:paraId="4625C1AE" w14:textId="0E8831AA">
            <w:r>
              <w:t>Director of HR</w:t>
            </w:r>
            <w:r w:rsidR="003E3B78">
              <w:t xml:space="preserve"> (staff data)</w:t>
            </w:r>
          </w:p>
        </w:tc>
      </w:tr>
      <w:tr w:rsidR="0008322C" w:rsidTr="003E3B78" w14:paraId="1E54BA4C" w14:textId="77777777">
        <w:tc>
          <w:tcPr>
            <w:tcW w:w="3823" w:type="dxa"/>
            <w:vMerge/>
          </w:tcPr>
          <w:p w:rsidRPr="0008322C" w:rsidR="0008322C" w:rsidRDefault="0008322C" w14:paraId="30DE8DC4" w14:textId="77777777"/>
        </w:tc>
        <w:tc>
          <w:tcPr>
            <w:tcW w:w="5193" w:type="dxa"/>
          </w:tcPr>
          <w:p w:rsidRPr="0008322C" w:rsidR="0008322C" w:rsidRDefault="0008322C" w14:paraId="64F17650" w14:textId="4A1A45F4">
            <w:r>
              <w:t>Director of Student Operations</w:t>
            </w:r>
            <w:r w:rsidR="003E3B78">
              <w:t xml:space="preserve"> (student data)</w:t>
            </w:r>
          </w:p>
        </w:tc>
      </w:tr>
      <w:tr w:rsidR="0008322C" w:rsidTr="003E3B78" w14:paraId="7704CAB5" w14:textId="77777777">
        <w:tc>
          <w:tcPr>
            <w:tcW w:w="3823" w:type="dxa"/>
            <w:vMerge/>
          </w:tcPr>
          <w:p w:rsidRPr="0008322C" w:rsidR="0008322C" w:rsidRDefault="0008322C" w14:paraId="337BCA48" w14:textId="77777777"/>
        </w:tc>
        <w:tc>
          <w:tcPr>
            <w:tcW w:w="5193" w:type="dxa"/>
          </w:tcPr>
          <w:p w:rsidRPr="0008322C" w:rsidR="0008322C" w:rsidRDefault="0008322C" w14:paraId="2F0BE960" w14:textId="4442CB57">
            <w:r>
              <w:t>PVC Global Engagement</w:t>
            </w:r>
            <w:r w:rsidR="003E3B78">
              <w:t xml:space="preserve"> (applications data)</w:t>
            </w:r>
          </w:p>
        </w:tc>
      </w:tr>
      <w:tr w:rsidR="0008322C" w:rsidTr="003E3B78" w14:paraId="22F04DCC" w14:textId="77777777">
        <w:tc>
          <w:tcPr>
            <w:tcW w:w="3823" w:type="dxa"/>
            <w:vMerge/>
          </w:tcPr>
          <w:p w:rsidRPr="0008322C" w:rsidR="0008322C" w:rsidRDefault="0008322C" w14:paraId="0DE182DC" w14:textId="77777777"/>
        </w:tc>
        <w:tc>
          <w:tcPr>
            <w:tcW w:w="5193" w:type="dxa"/>
          </w:tcPr>
          <w:p w:rsidRPr="0008322C" w:rsidR="0008322C" w:rsidRDefault="0008322C" w14:paraId="1F65E433" w14:textId="6C6E78FE">
            <w:r>
              <w:t>Dean of Learning &amp; Teaching</w:t>
            </w:r>
            <w:r w:rsidR="003E3B78">
              <w:t xml:space="preserve"> (programme data)</w:t>
            </w:r>
          </w:p>
        </w:tc>
      </w:tr>
      <w:tr w:rsidR="0008322C" w:rsidTr="003E3B78" w14:paraId="40D4D932" w14:textId="77777777">
        <w:tc>
          <w:tcPr>
            <w:tcW w:w="3823" w:type="dxa"/>
            <w:vMerge/>
          </w:tcPr>
          <w:p w:rsidRPr="0008322C" w:rsidR="0008322C" w:rsidRDefault="0008322C" w14:paraId="7CD381B2" w14:textId="77777777"/>
        </w:tc>
        <w:tc>
          <w:tcPr>
            <w:tcW w:w="5193" w:type="dxa"/>
          </w:tcPr>
          <w:p w:rsidR="0008322C" w:rsidRDefault="0008322C" w14:paraId="5923788F" w14:textId="721E501E">
            <w:r>
              <w:t>Deputy Provost</w:t>
            </w:r>
            <w:r w:rsidR="003E3B78">
              <w:t xml:space="preserve"> (research data)</w:t>
            </w:r>
          </w:p>
        </w:tc>
      </w:tr>
      <w:tr w:rsidR="0008322C" w:rsidTr="003E3B78" w14:paraId="0BE5DA14" w14:textId="77777777">
        <w:tc>
          <w:tcPr>
            <w:tcW w:w="3823" w:type="dxa"/>
            <w:vMerge/>
          </w:tcPr>
          <w:p w:rsidRPr="0008322C" w:rsidR="0008322C" w:rsidRDefault="0008322C" w14:paraId="13054D29" w14:textId="77777777"/>
        </w:tc>
        <w:tc>
          <w:tcPr>
            <w:tcW w:w="5193" w:type="dxa"/>
          </w:tcPr>
          <w:p w:rsidR="0008322C" w:rsidRDefault="0008322C" w14:paraId="4D6DE48D" w14:textId="305D54BA">
            <w:r>
              <w:t>Finance Systems Manager</w:t>
            </w:r>
            <w:r w:rsidR="003E3B78">
              <w:t xml:space="preserve"> (finance data)</w:t>
            </w:r>
          </w:p>
        </w:tc>
      </w:tr>
      <w:tr w:rsidR="0008322C" w:rsidTr="003E3B78" w14:paraId="04369BA7" w14:textId="77777777">
        <w:tc>
          <w:tcPr>
            <w:tcW w:w="3823" w:type="dxa"/>
            <w:vMerge/>
          </w:tcPr>
          <w:p w:rsidRPr="0008322C" w:rsidR="0008322C" w:rsidRDefault="0008322C" w14:paraId="7C4DAE81" w14:textId="77777777"/>
        </w:tc>
        <w:tc>
          <w:tcPr>
            <w:tcW w:w="5193" w:type="dxa"/>
          </w:tcPr>
          <w:p w:rsidR="0008322C" w:rsidRDefault="0008322C" w14:paraId="4B2C794F" w14:textId="51004267">
            <w:r>
              <w:t>Director of Estates &amp; Campus Services</w:t>
            </w:r>
            <w:r w:rsidR="003E3B78">
              <w:t xml:space="preserve"> (estates data)</w:t>
            </w:r>
          </w:p>
        </w:tc>
      </w:tr>
      <w:tr w:rsidR="0008322C" w:rsidTr="003E3B78" w14:paraId="1DD72B26" w14:textId="77777777">
        <w:tc>
          <w:tcPr>
            <w:tcW w:w="3823" w:type="dxa"/>
          </w:tcPr>
          <w:p w:rsidRPr="0008322C" w:rsidR="0008322C" w:rsidRDefault="0008322C" w14:paraId="4B6C1AD8" w14:textId="1E304174">
            <w:r>
              <w:t>Data Custodian</w:t>
            </w:r>
          </w:p>
        </w:tc>
        <w:tc>
          <w:tcPr>
            <w:tcW w:w="5193" w:type="dxa"/>
          </w:tcPr>
          <w:p w:rsidR="0008322C" w:rsidRDefault="0008322C" w14:paraId="0D4EA9DD" w14:textId="787CABB7">
            <w:r>
              <w:t>Chief Information Officer</w:t>
            </w:r>
          </w:p>
        </w:tc>
      </w:tr>
      <w:tr w:rsidR="0008322C" w:rsidTr="003E3B78" w14:paraId="6F585499" w14:textId="77777777">
        <w:tc>
          <w:tcPr>
            <w:tcW w:w="3823" w:type="dxa"/>
          </w:tcPr>
          <w:p w:rsidR="0008322C" w:rsidRDefault="0008322C" w14:paraId="6D22651D" w14:textId="65DCAF85">
            <w:r>
              <w:t>Data Protection Officer</w:t>
            </w:r>
          </w:p>
        </w:tc>
        <w:tc>
          <w:tcPr>
            <w:tcW w:w="5193" w:type="dxa"/>
          </w:tcPr>
          <w:p w:rsidR="0008322C" w:rsidRDefault="0008322C" w14:paraId="5B8DF0B6" w14:textId="2B8C0149">
            <w:r>
              <w:t>University Secretary</w:t>
            </w:r>
          </w:p>
        </w:tc>
      </w:tr>
      <w:tr w:rsidR="0008322C" w:rsidTr="003E3B78" w14:paraId="0DAE9537" w14:textId="77777777">
        <w:tc>
          <w:tcPr>
            <w:tcW w:w="3823" w:type="dxa"/>
            <w:vMerge w:val="restart"/>
          </w:tcPr>
          <w:p w:rsidR="0008322C" w:rsidRDefault="0008322C" w14:paraId="4CE99EF3" w14:textId="5AFB3AE6">
            <w:r>
              <w:t>Data Governance Oversight</w:t>
            </w:r>
          </w:p>
        </w:tc>
        <w:tc>
          <w:tcPr>
            <w:tcW w:w="5193" w:type="dxa"/>
          </w:tcPr>
          <w:p w:rsidR="0008322C" w:rsidRDefault="0008322C" w14:paraId="3983BB20" w14:textId="53B370FB">
            <w:r>
              <w:t>Director of Strategic Planning</w:t>
            </w:r>
          </w:p>
        </w:tc>
      </w:tr>
      <w:tr w:rsidR="0008322C" w:rsidTr="003E3B78" w14:paraId="0EBE7CE9" w14:textId="77777777">
        <w:tc>
          <w:tcPr>
            <w:tcW w:w="3823" w:type="dxa"/>
            <w:vMerge/>
          </w:tcPr>
          <w:p w:rsidR="0008322C" w:rsidRDefault="0008322C" w14:paraId="3E7DD53C" w14:textId="77777777"/>
        </w:tc>
        <w:tc>
          <w:tcPr>
            <w:tcW w:w="5193" w:type="dxa"/>
          </w:tcPr>
          <w:p w:rsidR="0008322C" w:rsidRDefault="0008322C" w14:paraId="7C6A229B" w14:textId="047BE4EC">
            <w:r>
              <w:t>Data Quality Manager</w:t>
            </w:r>
          </w:p>
        </w:tc>
      </w:tr>
    </w:tbl>
    <w:p w:rsidR="003E3B78" w:rsidRDefault="003E3B78" w14:paraId="0D4F6927" w14:textId="77777777">
      <w:pPr>
        <w:rPr>
          <w:b/>
          <w:u w:val="single"/>
        </w:rPr>
      </w:pPr>
    </w:p>
    <w:p w:rsidRPr="009B60E6" w:rsidR="001B14E3" w:rsidRDefault="009B60E6" w14:paraId="1D1AFACD" w14:textId="6BB1567A">
      <w:pPr>
        <w:rPr>
          <w:b/>
          <w:u w:val="single"/>
        </w:rPr>
      </w:pPr>
      <w:r w:rsidRPr="009B60E6">
        <w:rPr>
          <w:b/>
          <w:u w:val="single"/>
        </w:rPr>
        <w:t>Meeting frequency</w:t>
      </w:r>
      <w:r w:rsidR="0008322C">
        <w:rPr>
          <w:b/>
          <w:u w:val="single"/>
        </w:rPr>
        <w:t xml:space="preserve"> and attendance</w:t>
      </w:r>
    </w:p>
    <w:p w:rsidR="009B60E6" w:rsidRDefault="009B60E6" w14:paraId="7EAE1AA7" w14:textId="1795E064">
      <w:r>
        <w:t xml:space="preserve">The DGG will meet </w:t>
      </w:r>
      <w:r w:rsidR="0008322C">
        <w:t>at least twice a semester.  It is expected that data owners will attend each meeting of the DGG.  In the event that they are unable to attend then</w:t>
      </w:r>
      <w:r w:rsidR="003E3B78">
        <w:t xml:space="preserve"> either</w:t>
      </w:r>
      <w:r w:rsidR="0008322C">
        <w:t xml:space="preserve"> the data </w:t>
      </w:r>
      <w:r w:rsidR="00D65722">
        <w:t xml:space="preserve">trustee </w:t>
      </w:r>
      <w:r w:rsidR="003E3B78">
        <w:t xml:space="preserve">or data steward </w:t>
      </w:r>
      <w:r w:rsidR="00D65722">
        <w:t>will be expected to attend in their place.</w:t>
      </w:r>
      <w:r w:rsidR="003E3B78">
        <w:t xml:space="preserve">  Each data area must be represented for the meeting to be deemed quorate.</w:t>
      </w:r>
    </w:p>
    <w:sectPr w:rsidR="009B6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UOS Blak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4FE"/>
    <w:multiLevelType w:val="hybridMultilevel"/>
    <w:tmpl w:val="13446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58E8"/>
    <w:multiLevelType w:val="hybridMultilevel"/>
    <w:tmpl w:val="232CC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AD058">
      <w:numFmt w:val="bullet"/>
      <w:lvlText w:val="•"/>
      <w:lvlJc w:val="left"/>
      <w:pPr>
        <w:ind w:left="1440" w:hanging="360"/>
      </w:pPr>
      <w:rPr>
        <w:rFonts w:ascii="TUOS Blake" w:eastAsiaTheme="minorHAnsi" w:hAnsi="TUOS Blake" w:cs="TUOS Blak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1B"/>
    <w:rsid w:val="0008322C"/>
    <w:rsid w:val="001B14E3"/>
    <w:rsid w:val="003E3B78"/>
    <w:rsid w:val="0072311B"/>
    <w:rsid w:val="00907E67"/>
    <w:rsid w:val="009B60E6"/>
    <w:rsid w:val="00C70B3B"/>
    <w:rsid w:val="00D224C9"/>
    <w:rsid w:val="00D65722"/>
    <w:rsid w:val="00F34DAF"/>
    <w:rsid w:val="00F6205B"/>
    <w:rsid w:val="00F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6CF3"/>
  <w15:chartTrackingRefBased/>
  <w15:docId w15:val="{FC3A9E47-22C5-47F7-A906-8089549C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311B"/>
    <w:pPr>
      <w:autoSpaceDE w:val="0"/>
      <w:autoSpaceDN w:val="0"/>
      <w:adjustRightInd w:val="0"/>
      <w:spacing w:after="0" w:line="240" w:lineRule="auto"/>
    </w:pPr>
    <w:rPr>
      <w:rFonts w:ascii="TUOS Blake" w:hAnsi="TUOS Blake" w:cs="TUOS Blak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3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1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14E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08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University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Governance Group ToR 23 June 2021 v2</dc:title>
  <dc:subject>DGG ToR, Data Governance Group ToR</dc:subject>
  <dc:creator>Elizabeth Bell</dc:creator>
  <cp:keywords>
  </cp:keywords>
  <dc:description>
  </dc:description>
  <cp:lastModifiedBy>Mihiri Vithanage</cp:lastModifiedBy>
  <cp:revision>3</cp:revision>
  <dcterms:created xsi:type="dcterms:W3CDTF">2021-06-25T10:05:00Z</dcterms:created>
  <dcterms:modified xsi:type="dcterms:W3CDTF">2022-03-15T09:14:07Z</dcterms:modified>
</cp:coreProperties>
</file>