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D117A" w:rsidR="00293369" w:rsidP="00293369" w:rsidRDefault="00293369">
      <w:pPr>
        <w:spacing w:after="0" w:line="240" w:lineRule="auto"/>
        <w:jc w:val="center"/>
        <w:rPr>
          <w:rFonts w:ascii="Helvetica" w:hAnsi="Helvetica" w:eastAsia="Times New Roman" w:cs="Helvetica"/>
          <w:b/>
          <w:bCs/>
          <w:sz w:val="40"/>
          <w:szCs w:val="24"/>
        </w:rPr>
      </w:pPr>
      <w:r w:rsidRPr="007D117A">
        <w:rPr>
          <w:rFonts w:ascii="Helvetica" w:hAnsi="Helvetica" w:eastAsia="Times New Roman" w:cs="Helvetica"/>
          <w:b/>
          <w:bCs/>
          <w:sz w:val="40"/>
          <w:szCs w:val="24"/>
        </w:rPr>
        <w:t xml:space="preserve">ST MARY’S UNIVERSITY </w:t>
      </w:r>
    </w:p>
    <w:p w:rsidRPr="007D117A" w:rsidR="00293369" w:rsidP="00293369" w:rsidRDefault="00293369">
      <w:pPr>
        <w:spacing w:after="0" w:line="240" w:lineRule="auto"/>
        <w:jc w:val="center"/>
        <w:rPr>
          <w:rFonts w:ascii="Helvetica" w:hAnsi="Helvetica" w:eastAsia="Times New Roman" w:cs="Helvetica"/>
          <w:b/>
          <w:bCs/>
          <w:sz w:val="36"/>
          <w:szCs w:val="24"/>
        </w:rPr>
      </w:pPr>
      <w:r w:rsidRPr="007D117A">
        <w:rPr>
          <w:rFonts w:ascii="Helvetica" w:hAnsi="Helvetica" w:eastAsia="Times New Roman" w:cs="Helvetica"/>
          <w:b/>
          <w:bCs/>
          <w:sz w:val="36"/>
          <w:szCs w:val="24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7D117A">
            <w:rPr>
              <w:rFonts w:ascii="Helvetica" w:eastAsia="Times New Roman" w:hAnsi="Helvetica" w:cs="Helvetica"/>
              <w:b/>
              <w:bCs/>
              <w:sz w:val="36"/>
              <w:szCs w:val="24"/>
            </w:rPr>
            <w:t>LONDON</w:t>
          </w:r>
        </w:smartTag>
      </w:smartTag>
    </w:p>
    <w:p w:rsidRPr="007D117A" w:rsidR="00293369" w:rsidP="00293369" w:rsidRDefault="00293369">
      <w:pPr>
        <w:spacing w:after="0" w:line="240" w:lineRule="auto"/>
        <w:jc w:val="center"/>
        <w:rPr>
          <w:rFonts w:ascii="Helvetica" w:hAnsi="Helvetica" w:eastAsia="Times New Roman" w:cs="Helvetica"/>
          <w:b/>
          <w:bCs/>
          <w:sz w:val="23"/>
          <w:szCs w:val="23"/>
          <w:lang w:eastAsia="en-GB"/>
        </w:rPr>
      </w:pPr>
      <w:r w:rsidRPr="007D117A">
        <w:rPr>
          <w:rFonts w:ascii="Helvetica" w:hAnsi="Helvetica" w:eastAsia="Times New Roman" w:cs="Helvetica"/>
          <w:sz w:val="23"/>
          <w:szCs w:val="23"/>
          <w:lang w:eastAsia="en-GB"/>
        </w:rPr>
        <w:t>LLB, CRIMINOLOGY &amp; BUSINESS LAW Degree Examination students registered for</w:t>
      </w:r>
      <w:r w:rsidR="003C2140">
        <w:rPr>
          <w:rFonts w:ascii="Helvetica" w:hAnsi="Helvetica" w:eastAsia="Times New Roman" w:cs="Helvetica"/>
          <w:sz w:val="23"/>
          <w:szCs w:val="23"/>
          <w:lang w:eastAsia="en-GB"/>
        </w:rPr>
        <w:t xml:space="preserve"> </w:t>
      </w:r>
      <w:r w:rsidRPr="007D117A">
        <w:rPr>
          <w:rFonts w:ascii="Helvetica" w:hAnsi="Helvetica" w:eastAsia="Times New Roman" w:cs="Helvetica"/>
          <w:sz w:val="23"/>
          <w:szCs w:val="23"/>
          <w:lang w:eastAsia="en-GB"/>
        </w:rPr>
        <w:t xml:space="preserve">Level </w:t>
      </w:r>
      <w:r w:rsidRPr="007D117A">
        <w:rPr>
          <w:rFonts w:ascii="Helvetica" w:hAnsi="Helvetica" w:eastAsia="Times New Roman" w:cs="Helvetica"/>
          <w:b/>
          <w:sz w:val="23"/>
          <w:szCs w:val="23"/>
          <w:lang w:eastAsia="en-GB"/>
        </w:rPr>
        <w:t>FIVE</w:t>
      </w:r>
    </w:p>
    <w:p w:rsidRPr="007D117A" w:rsidR="00293369" w:rsidP="00293369" w:rsidRDefault="00293369">
      <w:pPr>
        <w:spacing w:after="0" w:line="240" w:lineRule="auto"/>
        <w:rPr>
          <w:rFonts w:ascii="Helvetica" w:hAnsi="Helvetica" w:eastAsia="Times New Roman" w:cs="Helvetica"/>
          <w:b/>
          <w:bCs/>
          <w:sz w:val="24"/>
          <w:szCs w:val="24"/>
          <w:lang w:eastAsia="en-GB"/>
        </w:rPr>
      </w:pPr>
    </w:p>
    <w:p w:rsidRPr="007D117A" w:rsidR="00293369" w:rsidP="00293369" w:rsidRDefault="003C2140">
      <w:pPr>
        <w:spacing w:after="0" w:line="240" w:lineRule="auto"/>
        <w:rPr>
          <w:rFonts w:ascii="Helvetica" w:hAnsi="Helvetica" w:eastAsia="Times New Roman" w:cs="Helvetica"/>
          <w:b/>
          <w:bCs/>
          <w:lang w:eastAsia="en-GB"/>
        </w:rPr>
      </w:pPr>
      <w:r>
        <w:rPr>
          <w:rFonts w:ascii="Helvetica" w:hAnsi="Helvetica" w:eastAsia="Times New Roman" w:cs="Helvetica"/>
          <w:lang w:eastAsia="en-GB"/>
        </w:rPr>
        <w:t xml:space="preserve">Title: </w:t>
      </w:r>
      <w:r w:rsidRPr="007D117A">
        <w:rPr>
          <w:rFonts w:ascii="Helvetica" w:hAnsi="Helvetica" w:eastAsia="Times New Roman" w:cs="Helvetica"/>
          <w:b/>
          <w:bCs/>
          <w:lang w:eastAsia="en-GB"/>
        </w:rPr>
        <w:t>Company Law &amp; Corporate Governance</w:t>
      </w:r>
    </w:p>
    <w:p w:rsidRPr="007D117A" w:rsidR="00293369" w:rsidP="00293369" w:rsidRDefault="00293369">
      <w:pPr>
        <w:spacing w:after="0" w:line="240" w:lineRule="auto"/>
        <w:rPr>
          <w:rFonts w:ascii="Helvetica" w:hAnsi="Helvetica" w:eastAsia="Times New Roman" w:cs="Helvetica"/>
          <w:lang w:eastAsia="en-GB"/>
        </w:rPr>
      </w:pPr>
    </w:p>
    <w:p w:rsidR="00D417E1" w:rsidP="00293369" w:rsidRDefault="00293369">
      <w:pPr>
        <w:spacing w:after="0" w:line="240" w:lineRule="auto"/>
        <w:rPr>
          <w:rFonts w:ascii="Helvetica" w:hAnsi="Helvetica" w:eastAsia="Times New Roman" w:cs="Helvetica"/>
          <w:b/>
          <w:lang w:eastAsia="en-GB"/>
        </w:rPr>
      </w:pPr>
      <w:r w:rsidRPr="007D117A">
        <w:rPr>
          <w:rFonts w:ascii="Helvetica" w:hAnsi="Helvetica" w:eastAsia="Times New Roman" w:cs="Helvetica"/>
          <w:lang w:eastAsia="en-GB"/>
        </w:rPr>
        <w:t xml:space="preserve">Code: </w:t>
      </w:r>
      <w:r w:rsidRPr="003C2140">
        <w:rPr>
          <w:rFonts w:ascii="Helvetica" w:hAnsi="Helvetica" w:eastAsia="Times New Roman" w:cs="Helvetica"/>
          <w:b/>
          <w:lang w:eastAsia="en-GB"/>
        </w:rPr>
        <w:t>LAW5017</w:t>
      </w:r>
    </w:p>
    <w:p w:rsidRPr="007D117A" w:rsidR="00293369" w:rsidP="00293369" w:rsidRDefault="00293369">
      <w:pPr>
        <w:spacing w:after="0" w:line="240" w:lineRule="auto"/>
        <w:rPr>
          <w:rFonts w:ascii="Helvetica" w:hAnsi="Helvetica" w:eastAsia="Times New Roman" w:cs="Helvetica"/>
          <w:b/>
          <w:bCs/>
          <w:lang w:eastAsia="en-GB"/>
        </w:rPr>
      </w:pPr>
      <w:r w:rsidRPr="007D117A">
        <w:rPr>
          <w:rFonts w:ascii="Helvetica" w:hAnsi="Helvetica" w:eastAsia="Times New Roman" w:cs="Helvetica"/>
          <w:lang w:eastAsia="en-GB"/>
        </w:rPr>
        <w:t>Semester:</w:t>
      </w:r>
      <w:r w:rsidR="003C2140">
        <w:rPr>
          <w:rFonts w:ascii="Helvetica" w:hAnsi="Helvetica" w:eastAsia="Times New Roman" w:cs="Helvetica"/>
          <w:lang w:eastAsia="en-GB"/>
        </w:rPr>
        <w:t xml:space="preserve"> </w:t>
      </w:r>
      <w:r w:rsidRPr="003C2140" w:rsidR="003C2140">
        <w:rPr>
          <w:rFonts w:ascii="Helvetica" w:hAnsi="Helvetica" w:eastAsia="Times New Roman" w:cs="Helvetica"/>
          <w:b/>
          <w:lang w:eastAsia="en-GB"/>
        </w:rPr>
        <w:t>One</w:t>
      </w:r>
    </w:p>
    <w:p w:rsidRPr="007D117A" w:rsidR="00293369" w:rsidP="00293369" w:rsidRDefault="00293369">
      <w:pPr>
        <w:spacing w:after="0" w:line="240" w:lineRule="auto"/>
        <w:rPr>
          <w:rFonts w:ascii="Helvetica" w:hAnsi="Helvetica" w:eastAsia="Times New Roman" w:cs="Helvetica"/>
          <w:b/>
          <w:bCs/>
          <w:lang w:eastAsia="en-GB"/>
        </w:rPr>
      </w:pPr>
    </w:p>
    <w:p w:rsidR="00D417E1" w:rsidP="00293369" w:rsidRDefault="0029336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</w:rPr>
      </w:pPr>
      <w:r w:rsidRPr="007D117A">
        <w:rPr>
          <w:rFonts w:ascii="Helvetica" w:hAnsi="Helvetica" w:cs="Helvetica"/>
          <w:color w:val="000000"/>
        </w:rPr>
        <w:t>Date:</w:t>
      </w:r>
      <w:r w:rsidRPr="007D117A">
        <w:rPr>
          <w:rFonts w:ascii="Helvetica" w:hAnsi="Helvetica" w:cs="Helvetica"/>
          <w:color w:val="000000"/>
        </w:rPr>
        <w:tab/>
      </w:r>
      <w:r w:rsidRPr="00B67EA1" w:rsidR="00B67EA1">
        <w:rPr>
          <w:rFonts w:ascii="Helvetica" w:hAnsi="Helvetica" w:cs="Helvetica"/>
          <w:b/>
          <w:color w:val="000000"/>
        </w:rPr>
        <w:t>13</w:t>
      </w:r>
      <w:r w:rsidRPr="00B67EA1" w:rsidR="00B67EA1">
        <w:rPr>
          <w:rFonts w:ascii="Helvetica" w:hAnsi="Helvetica" w:cs="Helvetica"/>
          <w:b/>
          <w:color w:val="000000"/>
          <w:vertAlign w:val="superscript"/>
        </w:rPr>
        <w:t>th</w:t>
      </w:r>
      <w:r w:rsidRPr="00B67EA1" w:rsidR="00B67EA1">
        <w:rPr>
          <w:rFonts w:ascii="Helvetica" w:hAnsi="Helvetica" w:cs="Helvetica"/>
          <w:b/>
          <w:color w:val="000000"/>
        </w:rPr>
        <w:t xml:space="preserve"> </w:t>
      </w:r>
      <w:r w:rsidRPr="00B67EA1" w:rsidR="003C2140">
        <w:rPr>
          <w:rFonts w:ascii="Helvetica" w:hAnsi="Helvetica" w:cs="Helvetica"/>
          <w:b/>
          <w:color w:val="000000"/>
        </w:rPr>
        <w:t>January 2020</w:t>
      </w:r>
    </w:p>
    <w:p w:rsidRPr="007D117A" w:rsidR="00293369" w:rsidP="00293369" w:rsidRDefault="0029336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7D117A">
        <w:rPr>
          <w:rFonts w:ascii="Helvetica" w:hAnsi="Helvetica" w:cs="Helvetica"/>
          <w:color w:val="000000"/>
        </w:rPr>
        <w:t xml:space="preserve">Time: </w:t>
      </w:r>
      <w:r w:rsidRPr="00B67EA1" w:rsidR="00B67EA1">
        <w:rPr>
          <w:rFonts w:ascii="Helvetica" w:hAnsi="Helvetica" w:cs="Helvetica"/>
          <w:b/>
          <w:color w:val="000000"/>
        </w:rPr>
        <w:t>9:30 am – 11:30 am</w:t>
      </w:r>
    </w:p>
    <w:p w:rsidRPr="007D117A" w:rsidR="00293369" w:rsidP="00293369" w:rsidRDefault="00293369">
      <w:pPr>
        <w:spacing w:after="0" w:line="240" w:lineRule="auto"/>
        <w:rPr>
          <w:rFonts w:ascii="Helvetica" w:hAnsi="Helvetica" w:eastAsia="Times New Roman" w:cs="Helvetica"/>
          <w:lang w:eastAsia="en-GB"/>
        </w:rPr>
      </w:pPr>
    </w:p>
    <w:p w:rsidRPr="007D117A" w:rsidR="00293369" w:rsidP="00293369" w:rsidRDefault="00293369">
      <w:pPr>
        <w:spacing w:after="0" w:line="240" w:lineRule="auto"/>
        <w:rPr>
          <w:rFonts w:ascii="Helvetica" w:hAnsi="Helvetica" w:eastAsia="Times New Roman" w:cs="Helvetica"/>
          <w:lang w:eastAsia="en-GB"/>
        </w:rPr>
      </w:pPr>
      <w:r w:rsidRPr="007D117A">
        <w:rPr>
          <w:rFonts w:ascii="Helvetica" w:hAnsi="Helvetica" w:eastAsia="Times New Roman" w:cs="Helvetica"/>
          <w:lang w:eastAsia="en-GB"/>
        </w:rPr>
        <w:t xml:space="preserve">TIME ALLOWED: </w:t>
      </w:r>
      <w:r w:rsidR="003C2140">
        <w:rPr>
          <w:rFonts w:ascii="Helvetica" w:hAnsi="Helvetica" w:eastAsia="Times New Roman" w:cs="Helvetica"/>
          <w:b/>
          <w:bCs/>
          <w:lang w:eastAsia="en-GB"/>
        </w:rPr>
        <w:t>TWO</w:t>
      </w:r>
      <w:r w:rsidRPr="007D117A">
        <w:rPr>
          <w:rFonts w:ascii="Helvetica" w:hAnsi="Helvetica" w:eastAsia="Times New Roman" w:cs="Helvetica"/>
          <w:b/>
          <w:bCs/>
          <w:lang w:eastAsia="en-GB"/>
        </w:rPr>
        <w:t xml:space="preserve"> </w:t>
      </w:r>
      <w:r w:rsidRPr="007D117A">
        <w:rPr>
          <w:rFonts w:ascii="Helvetica" w:hAnsi="Helvetica" w:eastAsia="Times New Roman" w:cs="Helvetica"/>
          <w:lang w:eastAsia="en-GB"/>
        </w:rPr>
        <w:t>HOURS</w:t>
      </w:r>
    </w:p>
    <w:p w:rsidRPr="007D117A" w:rsidR="00293369" w:rsidP="00293369" w:rsidRDefault="00293369">
      <w:pPr>
        <w:spacing w:after="0" w:line="240" w:lineRule="auto"/>
        <w:jc w:val="both"/>
        <w:rPr>
          <w:rFonts w:ascii="Helvetica" w:hAnsi="Helvetica" w:eastAsia="Times New Roman"/>
          <w:lang w:eastAsia="en-GB"/>
        </w:rPr>
      </w:pPr>
    </w:p>
    <w:p w:rsidRPr="003C2140" w:rsidR="00D417E1" w:rsidP="00D417E1" w:rsidRDefault="00D417E1">
      <w:pPr>
        <w:spacing w:after="0" w:line="240" w:lineRule="auto"/>
        <w:rPr>
          <w:rFonts w:ascii="Helvetica" w:hAnsi="Helvetica" w:cs="Helvetica"/>
          <w:b/>
        </w:rPr>
      </w:pPr>
      <w:r w:rsidRPr="003C2140">
        <w:rPr>
          <w:rFonts w:ascii="Helvetica" w:hAnsi="Helvetica" w:cs="Helvetica"/>
        </w:rPr>
        <w:t xml:space="preserve">The examination for this module is open-book. </w:t>
      </w:r>
      <w:r>
        <w:rPr>
          <w:rFonts w:ascii="Helvetica" w:hAnsi="Helvetica" w:cs="Helvetica"/>
        </w:rPr>
        <w:t xml:space="preserve"> </w:t>
      </w:r>
      <w:r w:rsidRPr="003C2140">
        <w:rPr>
          <w:rFonts w:ascii="Helvetica" w:hAnsi="Helvetica" w:cs="Helvetica"/>
        </w:rPr>
        <w:t xml:space="preserve">This means you will be able to take into the exam an </w:t>
      </w:r>
      <w:r w:rsidRPr="003C2140">
        <w:rPr>
          <w:rFonts w:ascii="Helvetica" w:hAnsi="Helvetica" w:cs="Helvetica"/>
          <w:b/>
        </w:rPr>
        <w:t>unmarked</w:t>
      </w:r>
      <w:r w:rsidRPr="003C2140">
        <w:rPr>
          <w:rFonts w:ascii="Helvetica" w:hAnsi="Helvetica" w:cs="Helvetica"/>
        </w:rPr>
        <w:t xml:space="preserve"> and </w:t>
      </w:r>
      <w:r w:rsidRPr="003C2140">
        <w:rPr>
          <w:rFonts w:ascii="Helvetica" w:hAnsi="Helvetica" w:cs="Helvetica"/>
          <w:b/>
        </w:rPr>
        <w:t xml:space="preserve">un-annotated </w:t>
      </w:r>
      <w:r w:rsidRPr="003C2140">
        <w:rPr>
          <w:rFonts w:ascii="Helvetica" w:hAnsi="Helvetica" w:cs="Helvetica"/>
        </w:rPr>
        <w:t xml:space="preserve">copy of Derek French’s, </w:t>
      </w:r>
      <w:proofErr w:type="spellStart"/>
      <w:r w:rsidRPr="003C2140">
        <w:rPr>
          <w:rFonts w:ascii="Helvetica" w:hAnsi="Helvetica" w:cs="Helvetica"/>
        </w:rPr>
        <w:t>Blackstones</w:t>
      </w:r>
      <w:proofErr w:type="spellEnd"/>
      <w:r w:rsidRPr="003C2140">
        <w:rPr>
          <w:rFonts w:ascii="Helvetica" w:hAnsi="Helvetica" w:cs="Helvetica"/>
        </w:rPr>
        <w:t xml:space="preserve"> Statutes on Company Law, 2019-20, OUP.</w:t>
      </w:r>
      <w:r>
        <w:rPr>
          <w:rFonts w:ascii="Helvetica" w:hAnsi="Helvetica" w:cs="Helvetica"/>
        </w:rPr>
        <w:t xml:space="preserve"> </w:t>
      </w:r>
      <w:r w:rsidRPr="003C2140">
        <w:rPr>
          <w:rFonts w:ascii="Helvetica" w:hAnsi="Helvetica" w:cs="Helvetica"/>
        </w:rPr>
        <w:t xml:space="preserve"> </w:t>
      </w:r>
      <w:r w:rsidRPr="003C2140">
        <w:rPr>
          <w:rFonts w:ascii="Helvetica" w:hAnsi="Helvetica" w:cs="Helvetica"/>
          <w:b/>
        </w:rPr>
        <w:t xml:space="preserve">No other books or materials (including text books containing case law) will be allowed. </w:t>
      </w:r>
    </w:p>
    <w:p w:rsidRPr="003C2140" w:rsidR="00D417E1" w:rsidP="00D417E1" w:rsidRDefault="00D417E1">
      <w:pPr>
        <w:spacing w:after="0" w:line="240" w:lineRule="auto"/>
        <w:rPr>
          <w:rFonts w:ascii="Helvetica" w:hAnsi="Helvetica" w:cs="Helvetica"/>
        </w:rPr>
      </w:pPr>
    </w:p>
    <w:p w:rsidR="00D417E1" w:rsidP="00D417E1" w:rsidRDefault="00D417E1">
      <w:pPr>
        <w:spacing w:after="0"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 xml:space="preserve">This paper is in </w:t>
      </w:r>
      <w:r w:rsidRPr="003C2140">
        <w:rPr>
          <w:rFonts w:ascii="Helvetica" w:hAnsi="Helvetica" w:cs="Helvetica"/>
          <w:b/>
        </w:rPr>
        <w:t>THREE</w:t>
      </w:r>
      <w:r w:rsidRPr="003C2140">
        <w:rPr>
          <w:rFonts w:ascii="Helvetica" w:hAnsi="Helvetica" w:cs="Helvetica"/>
        </w:rPr>
        <w:t xml:space="preserve"> parts. </w:t>
      </w:r>
      <w:r>
        <w:rPr>
          <w:rFonts w:ascii="Helvetica" w:hAnsi="Helvetica" w:cs="Helvetica"/>
        </w:rPr>
        <w:t xml:space="preserve"> </w:t>
      </w:r>
      <w:r w:rsidRPr="003C2140">
        <w:rPr>
          <w:rFonts w:ascii="Helvetica" w:hAnsi="Helvetica" w:cs="Helvetica"/>
        </w:rPr>
        <w:t xml:space="preserve">You must attempt all parts of the paper. </w:t>
      </w:r>
    </w:p>
    <w:p w:rsidR="00D417E1" w:rsidP="00D417E1" w:rsidRDefault="00D417E1">
      <w:pPr>
        <w:spacing w:after="0" w:line="240" w:lineRule="auto"/>
        <w:rPr>
          <w:rFonts w:ascii="Helvetica" w:hAnsi="Helvetica" w:cs="Helvetica"/>
        </w:rPr>
      </w:pPr>
    </w:p>
    <w:p w:rsidR="00D417E1" w:rsidP="00D417E1" w:rsidRDefault="00D417E1">
      <w:pPr>
        <w:spacing w:after="0"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 xml:space="preserve">Part A contains 20 multiple choice questions. </w:t>
      </w:r>
      <w:r>
        <w:rPr>
          <w:rFonts w:ascii="Helvetica" w:hAnsi="Helvetica" w:cs="Helvetica"/>
        </w:rPr>
        <w:t xml:space="preserve"> </w:t>
      </w:r>
      <w:r w:rsidRPr="003C2140">
        <w:rPr>
          <w:rFonts w:ascii="Helvetica" w:hAnsi="Helvetica" w:cs="Helvetica"/>
        </w:rPr>
        <w:t xml:space="preserve">Each question carries equal marks and all questions must be answered. There is only one correct answer to each question in Part A. </w:t>
      </w:r>
      <w:r>
        <w:rPr>
          <w:rFonts w:ascii="Helvetica" w:hAnsi="Helvetica" w:cs="Helvetica"/>
        </w:rPr>
        <w:t xml:space="preserve"> </w:t>
      </w:r>
      <w:r w:rsidRPr="003C2140">
        <w:rPr>
          <w:rFonts w:ascii="Helvetica" w:hAnsi="Helvetica" w:cs="Helvetica"/>
        </w:rPr>
        <w:t>This Part is worth 20% of the final mark.</w:t>
      </w:r>
    </w:p>
    <w:p w:rsidR="00D417E1" w:rsidP="00D417E1" w:rsidRDefault="00D417E1">
      <w:pPr>
        <w:spacing w:after="0" w:line="240" w:lineRule="auto"/>
        <w:rPr>
          <w:rFonts w:ascii="Helvetica" w:hAnsi="Helvetica" w:cs="Helvetica"/>
        </w:rPr>
      </w:pPr>
    </w:p>
    <w:p w:rsidR="00D417E1" w:rsidP="00D417E1" w:rsidRDefault="00D417E1">
      <w:pPr>
        <w:spacing w:after="0"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 xml:space="preserve">Part B contains </w:t>
      </w:r>
      <w:r w:rsidRPr="003C2140">
        <w:rPr>
          <w:rFonts w:ascii="Helvetica" w:hAnsi="Helvetica" w:cs="Helvetica"/>
          <w:b/>
        </w:rPr>
        <w:t>ONE</w:t>
      </w:r>
      <w:r w:rsidRPr="003C2140">
        <w:rPr>
          <w:rFonts w:ascii="Helvetica" w:hAnsi="Helvetica" w:cs="Helvetica"/>
        </w:rPr>
        <w:t xml:space="preserve"> problem question. </w:t>
      </w:r>
      <w:r>
        <w:rPr>
          <w:rFonts w:ascii="Helvetica" w:hAnsi="Helvetica" w:cs="Helvetica"/>
        </w:rPr>
        <w:t xml:space="preserve"> </w:t>
      </w:r>
      <w:r w:rsidRPr="003C2140">
        <w:rPr>
          <w:rFonts w:ascii="Helvetica" w:hAnsi="Helvetica" w:cs="Helvetica"/>
        </w:rPr>
        <w:t xml:space="preserve">This question is a mandatory question and therefore must be answered. This part is worth 40%. </w:t>
      </w:r>
    </w:p>
    <w:p w:rsidR="00D417E1" w:rsidP="00D417E1" w:rsidRDefault="00D417E1">
      <w:pPr>
        <w:spacing w:after="0" w:line="240" w:lineRule="auto"/>
        <w:rPr>
          <w:rFonts w:ascii="Helvetica" w:hAnsi="Helvetica" w:cs="Helvetica"/>
        </w:rPr>
      </w:pPr>
    </w:p>
    <w:p w:rsidRPr="003C2140" w:rsidR="00D417E1" w:rsidP="00D417E1" w:rsidRDefault="00D417E1">
      <w:pPr>
        <w:spacing w:after="0"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Part C contains four essay questions</w:t>
      </w:r>
      <w:r>
        <w:rPr>
          <w:rFonts w:ascii="Helvetica" w:hAnsi="Helvetica" w:cs="Helvetica"/>
        </w:rPr>
        <w:t xml:space="preserve">.  </w:t>
      </w:r>
      <w:r w:rsidRPr="003C2140">
        <w:rPr>
          <w:rFonts w:ascii="Helvetica" w:hAnsi="Helvetica" w:cs="Helvetica"/>
        </w:rPr>
        <w:t xml:space="preserve">You must attempt </w:t>
      </w:r>
      <w:r w:rsidRPr="003C2140">
        <w:rPr>
          <w:rFonts w:ascii="Helvetica" w:hAnsi="Helvetica" w:cs="Helvetica"/>
          <w:b/>
        </w:rPr>
        <w:t>ONE</w:t>
      </w:r>
      <w:r w:rsidRPr="003C2140">
        <w:rPr>
          <w:rFonts w:ascii="Helvetica" w:hAnsi="Helvetica" w:cs="Helvetica"/>
        </w:rPr>
        <w:t xml:space="preserve"> question from this section. </w:t>
      </w:r>
      <w:r>
        <w:rPr>
          <w:rFonts w:ascii="Helvetica" w:hAnsi="Helvetica" w:cs="Helvetica"/>
        </w:rPr>
        <w:t xml:space="preserve"> </w:t>
      </w:r>
      <w:r w:rsidRPr="003C2140">
        <w:rPr>
          <w:rFonts w:ascii="Helvetica" w:hAnsi="Helvetica" w:cs="Helvetica"/>
        </w:rPr>
        <w:t>This part is worth 40% of the final mark.</w:t>
      </w:r>
      <w:r>
        <w:rPr>
          <w:rFonts w:ascii="Helvetica" w:hAnsi="Helvetica" w:cs="Helvetica"/>
        </w:rPr>
        <w:t xml:space="preserve"> </w:t>
      </w:r>
      <w:r w:rsidRPr="003C214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E</w:t>
      </w:r>
      <w:r w:rsidRPr="003C2140">
        <w:rPr>
          <w:rFonts w:ascii="Helvetica" w:hAnsi="Helvetica" w:cs="Helvetica"/>
        </w:rPr>
        <w:t xml:space="preserve">ach question carries equal marks. </w:t>
      </w:r>
    </w:p>
    <w:p w:rsidR="00293369" w:rsidP="003C2140" w:rsidRDefault="00293369">
      <w:pPr>
        <w:spacing w:after="0" w:line="240" w:lineRule="auto"/>
      </w:pPr>
    </w:p>
    <w:p w:rsidRPr="003C2140" w:rsidR="00293369" w:rsidP="003C2140" w:rsidRDefault="00293369">
      <w:pPr>
        <w:spacing w:after="0" w:line="240" w:lineRule="auto"/>
        <w:jc w:val="center"/>
        <w:rPr>
          <w:rFonts w:ascii="Helvetica" w:hAnsi="Helvetica" w:cs="Helvetica"/>
        </w:rPr>
      </w:pPr>
      <w:r w:rsidRPr="003C2140">
        <w:rPr>
          <w:rFonts w:ascii="Helvetica" w:hAnsi="Helvetica" w:cs="Helvetica"/>
          <w:u w:val="single"/>
        </w:rPr>
        <w:t>PART A</w:t>
      </w:r>
      <w:r w:rsidRPr="003C2140" w:rsidR="003C2140">
        <w:rPr>
          <w:rFonts w:ascii="Helvetica" w:hAnsi="Helvetica" w:cs="Helvetica"/>
        </w:rPr>
        <w:t xml:space="preserve"> - </w:t>
      </w:r>
      <w:r w:rsidRPr="003C2140">
        <w:rPr>
          <w:rFonts w:ascii="Helvetica" w:hAnsi="Helvetica" w:cs="Helvetica"/>
        </w:rPr>
        <w:t>MCQ’s</w:t>
      </w:r>
    </w:p>
    <w:p w:rsidRPr="003C2140" w:rsidR="00293369" w:rsidP="003C2140" w:rsidRDefault="00293369">
      <w:pPr>
        <w:spacing w:after="0" w:line="240" w:lineRule="auto"/>
        <w:rPr>
          <w:rFonts w:ascii="Helvetica" w:hAnsi="Helvetica" w:cs="Helvetica"/>
        </w:rPr>
      </w:pPr>
    </w:p>
    <w:p w:rsidR="00293369" w:rsidP="003C2140" w:rsidRDefault="00293369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Which of the following was the ground used for lifting the veil of incorporation in the case of Gilford Motor Co Ltd v Horne (1933)?</w:t>
      </w:r>
    </w:p>
    <w:p w:rsidRPr="003C2140" w:rsidR="003C2140" w:rsidP="003C2140" w:rsidRDefault="003C2140">
      <w:pPr>
        <w:pStyle w:val="ListParagraph"/>
        <w:spacing w:line="240" w:lineRule="auto"/>
        <w:rPr>
          <w:rFonts w:ascii="Helvetica" w:hAnsi="Helvetica" w:cs="Helvetica"/>
        </w:rPr>
      </w:pP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On the grounds of agency.</w:t>
      </w: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In the interests of national security</w:t>
      </w: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On the grounds the company is formed as a façade</w:t>
      </w:r>
    </w:p>
    <w:p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None of the above is correct</w:t>
      </w:r>
    </w:p>
    <w:p w:rsidRPr="003C2140" w:rsidR="003C2140" w:rsidP="003C2140" w:rsidRDefault="003C2140">
      <w:pPr>
        <w:pStyle w:val="ListParagraph"/>
        <w:spacing w:line="240" w:lineRule="auto"/>
        <w:ind w:left="1440"/>
        <w:rPr>
          <w:rFonts w:ascii="Helvetica" w:hAnsi="Helvetica" w:cs="Helvetica"/>
        </w:rPr>
      </w:pPr>
    </w:p>
    <w:p w:rsidR="00293369" w:rsidP="003C2140" w:rsidRDefault="00293369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As a general rule, a company cannot acquire rights or obligations under a pre-incorporation contract.  Is this true or false?</w:t>
      </w:r>
    </w:p>
    <w:p w:rsidRPr="003C2140" w:rsidR="003C2140" w:rsidP="003C2140" w:rsidRDefault="003C2140">
      <w:pPr>
        <w:pStyle w:val="ListParagraph"/>
        <w:spacing w:line="240" w:lineRule="auto"/>
        <w:rPr>
          <w:rFonts w:ascii="Helvetica" w:hAnsi="Helvetica" w:cs="Helvetica"/>
        </w:rPr>
      </w:pP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True</w:t>
      </w:r>
    </w:p>
    <w:p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False</w:t>
      </w:r>
    </w:p>
    <w:p w:rsidRPr="003C2140" w:rsidR="003C2140" w:rsidP="003C2140" w:rsidRDefault="003C2140">
      <w:pPr>
        <w:pStyle w:val="ListParagraph"/>
        <w:spacing w:line="240" w:lineRule="auto"/>
        <w:ind w:left="1440"/>
        <w:rPr>
          <w:rFonts w:ascii="Helvetica" w:hAnsi="Helvetica" w:cs="Helvetica"/>
        </w:rPr>
      </w:pPr>
    </w:p>
    <w:p w:rsidR="00293369" w:rsidP="003C2140" w:rsidRDefault="00293369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lastRenderedPageBreak/>
        <w:t>What is the peculiar feature of a floating charge which distinguishes it from a fixed charge?</w:t>
      </w:r>
    </w:p>
    <w:p w:rsidRPr="003C2140" w:rsidR="003C2140" w:rsidP="003C2140" w:rsidRDefault="003C2140">
      <w:pPr>
        <w:pStyle w:val="ListParagraph"/>
        <w:spacing w:line="240" w:lineRule="auto"/>
        <w:rPr>
          <w:rFonts w:ascii="Helvetica" w:hAnsi="Helvetica" w:cs="Helvetica"/>
        </w:rPr>
      </w:pP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The company cannot continue to deal with the assets in the ordinary course of business</w:t>
      </w: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The company can continue to deal with the assets in the ordinary course of business</w:t>
      </w: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The company can dispose of assets with the permission of the creditors and shareholders</w:t>
      </w:r>
    </w:p>
    <w:p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None of the above are correct</w:t>
      </w:r>
    </w:p>
    <w:p w:rsidRPr="003C2140" w:rsidR="003C2140" w:rsidP="003C2140" w:rsidRDefault="003C2140">
      <w:pPr>
        <w:pStyle w:val="ListParagraph"/>
        <w:spacing w:line="240" w:lineRule="auto"/>
        <w:ind w:left="1440"/>
        <w:rPr>
          <w:rFonts w:ascii="Helvetica" w:hAnsi="Helvetica" w:cs="Helvetica"/>
        </w:rPr>
      </w:pPr>
    </w:p>
    <w:p w:rsidR="00293369" w:rsidP="003C2140" w:rsidRDefault="00293369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It is not permitted for shares to be issued at a discount to their nominal value.  Is this true or false?</w:t>
      </w:r>
    </w:p>
    <w:p w:rsidRPr="003C2140" w:rsidR="003C2140" w:rsidP="003C2140" w:rsidRDefault="003C2140">
      <w:pPr>
        <w:pStyle w:val="ListParagraph"/>
        <w:spacing w:line="240" w:lineRule="auto"/>
        <w:rPr>
          <w:rFonts w:ascii="Helvetica" w:hAnsi="Helvetica" w:cs="Helvetica"/>
        </w:rPr>
      </w:pP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True</w:t>
      </w:r>
    </w:p>
    <w:p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False</w:t>
      </w:r>
    </w:p>
    <w:p w:rsidRPr="003C2140" w:rsidR="003C2140" w:rsidP="003C2140" w:rsidRDefault="003C2140">
      <w:pPr>
        <w:pStyle w:val="ListParagraph"/>
        <w:spacing w:line="240" w:lineRule="auto"/>
        <w:ind w:left="1440"/>
        <w:rPr>
          <w:rFonts w:ascii="Helvetica" w:hAnsi="Helvetica" w:cs="Helvetica"/>
        </w:rPr>
      </w:pPr>
    </w:p>
    <w:p w:rsidR="00293369" w:rsidP="003C2140" w:rsidRDefault="00293369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There are no such things as ‘shareholders agreement’.  Is this true or false?</w:t>
      </w:r>
    </w:p>
    <w:p w:rsidRPr="003C2140" w:rsidR="003C2140" w:rsidP="003C2140" w:rsidRDefault="003C2140">
      <w:pPr>
        <w:pStyle w:val="ListParagraph"/>
        <w:spacing w:line="240" w:lineRule="auto"/>
        <w:rPr>
          <w:rFonts w:ascii="Helvetica" w:hAnsi="Helvetica" w:cs="Helvetica"/>
        </w:rPr>
      </w:pP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True</w:t>
      </w:r>
    </w:p>
    <w:p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False</w:t>
      </w:r>
    </w:p>
    <w:p w:rsidRPr="003C2140" w:rsidR="003C2140" w:rsidP="003C2140" w:rsidRDefault="003C2140">
      <w:pPr>
        <w:pStyle w:val="ListParagraph"/>
        <w:spacing w:line="240" w:lineRule="auto"/>
        <w:ind w:left="1440"/>
        <w:rPr>
          <w:rFonts w:ascii="Helvetica" w:hAnsi="Helvetica" w:cs="Helvetica"/>
        </w:rPr>
      </w:pPr>
    </w:p>
    <w:p w:rsidR="00293369" w:rsidP="003C2140" w:rsidRDefault="00293369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Which of the following is correct?</w:t>
      </w:r>
    </w:p>
    <w:p w:rsidRPr="003C2140" w:rsidR="003C2140" w:rsidP="003C2140" w:rsidRDefault="003C2140">
      <w:pPr>
        <w:pStyle w:val="ListParagraph"/>
        <w:spacing w:line="240" w:lineRule="auto"/>
        <w:rPr>
          <w:rFonts w:ascii="Helvetica" w:hAnsi="Helvetica" w:cs="Helvetica"/>
        </w:rPr>
      </w:pP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 xml:space="preserve">A </w:t>
      </w:r>
      <w:proofErr w:type="spellStart"/>
      <w:proofErr w:type="gramStart"/>
      <w:r w:rsidRPr="003C2140">
        <w:rPr>
          <w:rFonts w:ascii="Helvetica" w:hAnsi="Helvetica" w:cs="Helvetica"/>
        </w:rPr>
        <w:t>non executive</w:t>
      </w:r>
      <w:proofErr w:type="spellEnd"/>
      <w:proofErr w:type="gramEnd"/>
      <w:r w:rsidRPr="003C2140">
        <w:rPr>
          <w:rFonts w:ascii="Helvetica" w:hAnsi="Helvetica" w:cs="Helvetica"/>
        </w:rPr>
        <w:t xml:space="preserve"> director is a full time director in a company</w:t>
      </w: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 xml:space="preserve">There </w:t>
      </w:r>
      <w:proofErr w:type="gramStart"/>
      <w:r w:rsidRPr="003C2140">
        <w:rPr>
          <w:rFonts w:ascii="Helvetica" w:hAnsi="Helvetica" w:cs="Helvetica"/>
        </w:rPr>
        <w:t>is  no</w:t>
      </w:r>
      <w:proofErr w:type="gramEnd"/>
      <w:r w:rsidRPr="003C2140">
        <w:rPr>
          <w:rFonts w:ascii="Helvetica" w:hAnsi="Helvetica" w:cs="Helvetica"/>
        </w:rPr>
        <w:t xml:space="preserve"> such thing as a shadow director</w:t>
      </w: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De facto directors are properly appointed directors</w:t>
      </w:r>
    </w:p>
    <w:p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A de jure director is a properly appointed director</w:t>
      </w:r>
    </w:p>
    <w:p w:rsidRPr="003C2140" w:rsidR="003C2140" w:rsidP="003C2140" w:rsidRDefault="003C2140">
      <w:pPr>
        <w:pStyle w:val="ListParagraph"/>
        <w:spacing w:line="240" w:lineRule="auto"/>
        <w:ind w:left="1440"/>
        <w:rPr>
          <w:rFonts w:ascii="Helvetica" w:hAnsi="Helvetica" w:cs="Helvetica"/>
        </w:rPr>
      </w:pPr>
    </w:p>
    <w:p w:rsidR="00293369" w:rsidP="003C2140" w:rsidRDefault="00293369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How much notice is required for the removal of a director by ordinary resolution?</w:t>
      </w:r>
    </w:p>
    <w:p w:rsidRPr="003C2140" w:rsidR="003C2140" w:rsidP="003C2140" w:rsidRDefault="003C2140">
      <w:pPr>
        <w:pStyle w:val="ListParagraph"/>
        <w:spacing w:line="240" w:lineRule="auto"/>
        <w:rPr>
          <w:rFonts w:ascii="Helvetica" w:hAnsi="Helvetica" w:cs="Helvetica"/>
        </w:rPr>
      </w:pP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14 days</w:t>
      </w: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21 days</w:t>
      </w: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28 days</w:t>
      </w:r>
    </w:p>
    <w:p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7 days</w:t>
      </w:r>
    </w:p>
    <w:p w:rsidRPr="003C2140" w:rsidR="003C2140" w:rsidP="003C2140" w:rsidRDefault="003C2140">
      <w:pPr>
        <w:pStyle w:val="ListParagraph"/>
        <w:spacing w:line="240" w:lineRule="auto"/>
        <w:ind w:left="1440"/>
        <w:rPr>
          <w:rFonts w:ascii="Helvetica" w:hAnsi="Helvetica" w:cs="Helvetica"/>
        </w:rPr>
      </w:pPr>
    </w:p>
    <w:p w:rsidR="00293369" w:rsidP="003C2140" w:rsidRDefault="003C2140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Directors’</w:t>
      </w:r>
      <w:r w:rsidRPr="003C2140" w:rsidR="00293369">
        <w:rPr>
          <w:rFonts w:ascii="Helvetica" w:hAnsi="Helvetica" w:cs="Helvetica"/>
        </w:rPr>
        <w:t xml:space="preserve"> duties are to be found only in the body of case law and nowhere else.  Is this true or false?</w:t>
      </w:r>
    </w:p>
    <w:p w:rsidRPr="003C2140" w:rsidR="003C2140" w:rsidP="003C2140" w:rsidRDefault="003C2140">
      <w:pPr>
        <w:pStyle w:val="ListParagraph"/>
        <w:spacing w:line="240" w:lineRule="auto"/>
        <w:rPr>
          <w:rFonts w:ascii="Helvetica" w:hAnsi="Helvetica" w:cs="Helvetica"/>
        </w:rPr>
      </w:pP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True</w:t>
      </w:r>
    </w:p>
    <w:p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False</w:t>
      </w:r>
    </w:p>
    <w:p w:rsidRPr="003C2140" w:rsidR="003C2140" w:rsidP="003C2140" w:rsidRDefault="003C2140">
      <w:pPr>
        <w:pStyle w:val="ListParagraph"/>
        <w:spacing w:line="240" w:lineRule="auto"/>
        <w:ind w:left="1440"/>
        <w:rPr>
          <w:rFonts w:ascii="Helvetica" w:hAnsi="Helvetica" w:cs="Helvetica"/>
        </w:rPr>
      </w:pPr>
    </w:p>
    <w:p w:rsidR="00293369" w:rsidP="003C2140" w:rsidRDefault="00293369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The UK’s approach to Corporate Governance has been rules based as opposed to prin</w:t>
      </w:r>
      <w:r w:rsidR="003C2140">
        <w:rPr>
          <w:rFonts w:ascii="Helvetica" w:hAnsi="Helvetica" w:cs="Helvetica"/>
        </w:rPr>
        <w:t>ciples based.  Is this true or f</w:t>
      </w:r>
      <w:r w:rsidRPr="003C2140">
        <w:rPr>
          <w:rFonts w:ascii="Helvetica" w:hAnsi="Helvetica" w:cs="Helvetica"/>
        </w:rPr>
        <w:t>alse?</w:t>
      </w:r>
    </w:p>
    <w:p w:rsidRPr="003C2140" w:rsidR="003C2140" w:rsidP="003C2140" w:rsidRDefault="003C2140">
      <w:pPr>
        <w:pStyle w:val="ListParagraph"/>
        <w:spacing w:line="240" w:lineRule="auto"/>
        <w:rPr>
          <w:rFonts w:ascii="Helvetica" w:hAnsi="Helvetica" w:cs="Helvetica"/>
        </w:rPr>
      </w:pP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True</w:t>
      </w:r>
    </w:p>
    <w:p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False</w:t>
      </w:r>
    </w:p>
    <w:p w:rsidR="003C2140" w:rsidP="003C2140" w:rsidRDefault="003C2140">
      <w:pPr>
        <w:pStyle w:val="ListParagraph"/>
        <w:spacing w:line="240" w:lineRule="auto"/>
        <w:ind w:left="1440"/>
        <w:rPr>
          <w:rFonts w:ascii="Helvetica" w:hAnsi="Helvetica" w:cs="Helvetica"/>
        </w:rPr>
      </w:pPr>
    </w:p>
    <w:p w:rsidR="003C2140" w:rsidP="003C2140" w:rsidRDefault="003C2140">
      <w:pPr>
        <w:pStyle w:val="ListParagraph"/>
        <w:spacing w:line="240" w:lineRule="auto"/>
        <w:ind w:left="1440"/>
        <w:rPr>
          <w:rFonts w:ascii="Helvetica" w:hAnsi="Helvetica" w:cs="Helvetica"/>
        </w:rPr>
      </w:pPr>
    </w:p>
    <w:p w:rsidR="00293369" w:rsidP="003C2140" w:rsidRDefault="00293369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Which of the following is correct?</w:t>
      </w:r>
    </w:p>
    <w:p w:rsidRPr="003C2140" w:rsidR="003C2140" w:rsidP="003C2140" w:rsidRDefault="003C2140">
      <w:pPr>
        <w:pStyle w:val="ListParagraph"/>
        <w:spacing w:line="240" w:lineRule="auto"/>
        <w:rPr>
          <w:rFonts w:ascii="Helvetica" w:hAnsi="Helvetica" w:cs="Helvetica"/>
        </w:rPr>
      </w:pP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The minimum age for a director is 16 years of age</w:t>
      </w: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The minimum age of a director is 18 years of age</w:t>
      </w: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The minimum age of a director is 21 years of age</w:t>
      </w:r>
    </w:p>
    <w:p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None of the above are correct</w:t>
      </w:r>
    </w:p>
    <w:p w:rsidRPr="003C2140" w:rsidR="003C2140" w:rsidP="003C2140" w:rsidRDefault="003C2140">
      <w:pPr>
        <w:pStyle w:val="ListParagraph"/>
        <w:spacing w:line="240" w:lineRule="auto"/>
        <w:ind w:left="1440"/>
        <w:rPr>
          <w:rFonts w:ascii="Helvetica" w:hAnsi="Helvetica" w:cs="Helvetica"/>
        </w:rPr>
      </w:pPr>
    </w:p>
    <w:p w:rsidR="00293369" w:rsidP="003C2140" w:rsidRDefault="00293369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Which of the following business does not have a separate legal personality?</w:t>
      </w:r>
    </w:p>
    <w:p w:rsidRPr="003C2140" w:rsidR="003C2140" w:rsidP="003C2140" w:rsidRDefault="003C2140">
      <w:pPr>
        <w:pStyle w:val="ListParagraph"/>
        <w:spacing w:line="240" w:lineRule="auto"/>
        <w:rPr>
          <w:rFonts w:ascii="Helvetica" w:hAnsi="Helvetica" w:cs="Helvetica"/>
        </w:rPr>
      </w:pP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The Limited Liability Partnership</w:t>
      </w: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The General Partnership</w:t>
      </w: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The Private Company Limited by shares</w:t>
      </w:r>
    </w:p>
    <w:p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The Public Company Limited by shares</w:t>
      </w:r>
    </w:p>
    <w:p w:rsidRPr="003C2140" w:rsidR="003C2140" w:rsidP="003C2140" w:rsidRDefault="003C2140">
      <w:pPr>
        <w:pStyle w:val="ListParagraph"/>
        <w:spacing w:line="240" w:lineRule="auto"/>
        <w:ind w:left="1440"/>
        <w:rPr>
          <w:rFonts w:ascii="Helvetica" w:hAnsi="Helvetica" w:cs="Helvetica"/>
        </w:rPr>
      </w:pPr>
    </w:p>
    <w:p w:rsidR="00293369" w:rsidP="003C2140" w:rsidRDefault="00293369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In order to amend a company’s articles of association special resolution is required.  Is this true or false?</w:t>
      </w:r>
    </w:p>
    <w:p w:rsidRPr="003C2140" w:rsidR="003C2140" w:rsidP="003C2140" w:rsidRDefault="003C2140">
      <w:pPr>
        <w:pStyle w:val="ListParagraph"/>
        <w:spacing w:line="240" w:lineRule="auto"/>
        <w:rPr>
          <w:rFonts w:ascii="Helvetica" w:hAnsi="Helvetica" w:cs="Helvetica"/>
        </w:rPr>
      </w:pP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True</w:t>
      </w:r>
    </w:p>
    <w:p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False</w:t>
      </w:r>
    </w:p>
    <w:p w:rsidRPr="003C2140" w:rsidR="003C2140" w:rsidP="003C2140" w:rsidRDefault="003C2140">
      <w:pPr>
        <w:pStyle w:val="ListParagraph"/>
        <w:spacing w:line="240" w:lineRule="auto"/>
        <w:ind w:left="1440"/>
        <w:rPr>
          <w:rFonts w:ascii="Helvetica" w:hAnsi="Helvetica" w:cs="Helvetica"/>
        </w:rPr>
      </w:pPr>
    </w:p>
    <w:p w:rsidR="00293369" w:rsidP="003C2140" w:rsidRDefault="00293369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The Corporate Manslaughter and Corporate Homicide Act 2017 imposes liability for corporat</w:t>
      </w:r>
      <w:r w:rsidR="00B67EA1">
        <w:rPr>
          <w:rFonts w:ascii="Helvetica" w:hAnsi="Helvetica" w:cs="Helvetica"/>
        </w:rPr>
        <w:t xml:space="preserve">e manslaughter </w:t>
      </w:r>
      <w:r w:rsidRPr="003C2140">
        <w:rPr>
          <w:rFonts w:ascii="Helvetica" w:hAnsi="Helvetica" w:cs="Helvetica"/>
        </w:rPr>
        <w:t>based upon the identification doctrine.  Is this true or false?</w:t>
      </w:r>
    </w:p>
    <w:p w:rsidRPr="003C2140" w:rsidR="003C2140" w:rsidP="003C2140" w:rsidRDefault="003C2140">
      <w:pPr>
        <w:pStyle w:val="ListParagraph"/>
        <w:spacing w:line="240" w:lineRule="auto"/>
        <w:rPr>
          <w:rFonts w:ascii="Helvetica" w:hAnsi="Helvetica" w:cs="Helvetica"/>
        </w:rPr>
      </w:pP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True</w:t>
      </w:r>
    </w:p>
    <w:p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False</w:t>
      </w:r>
    </w:p>
    <w:p w:rsidRPr="003C2140" w:rsidR="003C2140" w:rsidP="003C2140" w:rsidRDefault="003C2140">
      <w:pPr>
        <w:pStyle w:val="ListParagraph"/>
        <w:spacing w:line="240" w:lineRule="auto"/>
        <w:ind w:left="1440"/>
        <w:rPr>
          <w:rFonts w:ascii="Helvetica" w:hAnsi="Helvetica" w:cs="Helvetica"/>
        </w:rPr>
      </w:pPr>
    </w:p>
    <w:p w:rsidR="00293369" w:rsidP="003C2140" w:rsidRDefault="00293369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A company can never be created by Royal Charter.  Is this true or false?</w:t>
      </w:r>
    </w:p>
    <w:p w:rsidRPr="003C2140" w:rsidR="003C2140" w:rsidP="003C2140" w:rsidRDefault="003C2140">
      <w:pPr>
        <w:pStyle w:val="ListParagraph"/>
        <w:spacing w:line="240" w:lineRule="auto"/>
        <w:rPr>
          <w:rFonts w:ascii="Helvetica" w:hAnsi="Helvetica" w:cs="Helvetica"/>
        </w:rPr>
      </w:pP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True</w:t>
      </w:r>
    </w:p>
    <w:p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False</w:t>
      </w:r>
    </w:p>
    <w:p w:rsidRPr="003C2140" w:rsidR="003C2140" w:rsidP="003C2140" w:rsidRDefault="003C2140">
      <w:pPr>
        <w:pStyle w:val="ListParagraph"/>
        <w:spacing w:line="240" w:lineRule="auto"/>
        <w:ind w:left="1440"/>
        <w:rPr>
          <w:rFonts w:ascii="Helvetica" w:hAnsi="Helvetica" w:cs="Helvetica"/>
        </w:rPr>
      </w:pPr>
    </w:p>
    <w:p w:rsidR="00293369" w:rsidP="003C2140" w:rsidRDefault="00293369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Directors can bind a company to a transaction that they have entered into on the grounds of apparent authority.  Is this true or false?</w:t>
      </w:r>
    </w:p>
    <w:p w:rsidRPr="003C2140" w:rsidR="003C2140" w:rsidP="003C2140" w:rsidRDefault="003C2140">
      <w:pPr>
        <w:pStyle w:val="ListParagraph"/>
        <w:spacing w:line="240" w:lineRule="auto"/>
        <w:rPr>
          <w:rFonts w:ascii="Helvetica" w:hAnsi="Helvetica" w:cs="Helvetica"/>
        </w:rPr>
      </w:pP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True</w:t>
      </w:r>
    </w:p>
    <w:p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False</w:t>
      </w:r>
    </w:p>
    <w:p w:rsidRPr="003C2140" w:rsidR="00A147DA" w:rsidP="00A147DA" w:rsidRDefault="00A147DA">
      <w:pPr>
        <w:pStyle w:val="ListParagraph"/>
        <w:spacing w:line="240" w:lineRule="auto"/>
        <w:ind w:left="1440"/>
        <w:rPr>
          <w:rFonts w:ascii="Helvetica" w:hAnsi="Helvetica" w:cs="Helvetica"/>
        </w:rPr>
      </w:pPr>
    </w:p>
    <w:p w:rsidR="00293369" w:rsidP="003C2140" w:rsidRDefault="00293369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When a company acts for a purpose outside its objects the contract is said to be:</w:t>
      </w:r>
    </w:p>
    <w:p w:rsidRPr="003C2140" w:rsidR="003C2140" w:rsidP="003C2140" w:rsidRDefault="003C2140">
      <w:pPr>
        <w:pStyle w:val="ListParagraph"/>
        <w:spacing w:line="240" w:lineRule="auto"/>
        <w:rPr>
          <w:rFonts w:ascii="Helvetica" w:hAnsi="Helvetica" w:cs="Helvetica"/>
        </w:rPr>
      </w:pP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Intra vires</w:t>
      </w: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Ultra Vires</w:t>
      </w: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Permitted</w:t>
      </w:r>
    </w:p>
    <w:p w:rsidRPr="00D417E1" w:rsidR="00D417E1" w:rsidP="00D417E1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D417E1">
        <w:rPr>
          <w:rFonts w:ascii="Helvetica" w:hAnsi="Helvetica" w:cs="Helvetica"/>
        </w:rPr>
        <w:t>None of the above</w:t>
      </w:r>
    </w:p>
    <w:p w:rsidR="00D417E1" w:rsidRDefault="00D417E1">
      <w:pPr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:rsidR="00293369" w:rsidP="003C2140" w:rsidRDefault="00293369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lastRenderedPageBreak/>
        <w:t>Written resolutions can be passed by public companies limited by shares.  Is this true or false?</w:t>
      </w:r>
    </w:p>
    <w:p w:rsidRPr="003C2140" w:rsidR="003C2140" w:rsidP="003C2140" w:rsidRDefault="003C2140">
      <w:pPr>
        <w:pStyle w:val="ListParagraph"/>
        <w:spacing w:line="240" w:lineRule="auto"/>
        <w:ind w:left="567"/>
        <w:rPr>
          <w:rFonts w:ascii="Helvetica" w:hAnsi="Helvetica" w:cs="Helvetica"/>
        </w:rPr>
      </w:pP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True</w:t>
      </w:r>
    </w:p>
    <w:p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False</w:t>
      </w:r>
    </w:p>
    <w:p w:rsidRPr="003C2140" w:rsidR="003C2140" w:rsidP="003C2140" w:rsidRDefault="003C2140">
      <w:pPr>
        <w:pStyle w:val="ListParagraph"/>
        <w:spacing w:line="240" w:lineRule="auto"/>
        <w:ind w:left="1440"/>
        <w:rPr>
          <w:rFonts w:ascii="Helvetica" w:hAnsi="Helvetica" w:cs="Helvetica"/>
        </w:rPr>
      </w:pPr>
    </w:p>
    <w:p w:rsidR="00293369" w:rsidP="003C2140" w:rsidRDefault="00293369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A member of the company can bring a claim on behalf of the company in respect of a right to sue which the company has.  Is this true or false?</w:t>
      </w:r>
    </w:p>
    <w:p w:rsidRPr="003C2140" w:rsidR="003C2140" w:rsidP="003C2140" w:rsidRDefault="003C2140">
      <w:pPr>
        <w:pStyle w:val="ListParagraph"/>
        <w:spacing w:line="240" w:lineRule="auto"/>
        <w:rPr>
          <w:rFonts w:ascii="Helvetica" w:hAnsi="Helvetica" w:cs="Helvetica"/>
        </w:rPr>
      </w:pP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True</w:t>
      </w:r>
    </w:p>
    <w:p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False</w:t>
      </w:r>
    </w:p>
    <w:p w:rsidRPr="003C2140" w:rsidR="003C2140" w:rsidP="003C2140" w:rsidRDefault="003C2140">
      <w:pPr>
        <w:pStyle w:val="ListParagraph"/>
        <w:spacing w:line="240" w:lineRule="auto"/>
        <w:ind w:left="1440"/>
        <w:rPr>
          <w:rFonts w:ascii="Helvetica" w:hAnsi="Helvetica" w:cs="Helvetica"/>
        </w:rPr>
      </w:pPr>
    </w:p>
    <w:p w:rsidR="00293369" w:rsidP="003C2140" w:rsidRDefault="00293369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A floating charge always ranks higher than a fixed charge.  Is this true or false?</w:t>
      </w:r>
    </w:p>
    <w:p w:rsidRPr="003C2140" w:rsidR="003C2140" w:rsidP="003C2140" w:rsidRDefault="003C2140">
      <w:pPr>
        <w:pStyle w:val="ListParagraph"/>
        <w:spacing w:line="240" w:lineRule="auto"/>
        <w:rPr>
          <w:rFonts w:ascii="Helvetica" w:hAnsi="Helvetica" w:cs="Helvetica"/>
        </w:rPr>
      </w:pP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True</w:t>
      </w:r>
    </w:p>
    <w:p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False</w:t>
      </w:r>
    </w:p>
    <w:p w:rsidRPr="003C2140" w:rsidR="003C2140" w:rsidP="003C2140" w:rsidRDefault="003C2140">
      <w:pPr>
        <w:pStyle w:val="ListParagraph"/>
        <w:spacing w:line="240" w:lineRule="auto"/>
        <w:ind w:left="1440"/>
        <w:rPr>
          <w:rFonts w:ascii="Helvetica" w:hAnsi="Helvetica" w:cs="Helvetica"/>
        </w:rPr>
      </w:pPr>
    </w:p>
    <w:p w:rsidR="00293369" w:rsidP="003C2140" w:rsidRDefault="00293369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Partnership property does not belong to individual partners.  Rather it belongs to all of the partners who hold it on trust for each other.</w:t>
      </w:r>
    </w:p>
    <w:p w:rsidRPr="003C2140" w:rsidR="003C2140" w:rsidP="003C2140" w:rsidRDefault="003C2140">
      <w:pPr>
        <w:pStyle w:val="ListParagraph"/>
        <w:spacing w:line="240" w:lineRule="auto"/>
        <w:rPr>
          <w:rFonts w:ascii="Helvetica" w:hAnsi="Helvetica" w:cs="Helvetica"/>
        </w:rPr>
      </w:pPr>
    </w:p>
    <w:p w:rsidRPr="003C2140" w:rsidR="00293369" w:rsidP="003C2140" w:rsidRDefault="0029336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True</w:t>
      </w:r>
    </w:p>
    <w:p w:rsidRPr="003C2140" w:rsidR="00293369" w:rsidP="00A147DA" w:rsidRDefault="00293369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False</w:t>
      </w:r>
    </w:p>
    <w:p w:rsidRPr="003C2140" w:rsidR="00293369" w:rsidP="003C2140" w:rsidRDefault="00293369">
      <w:pPr>
        <w:spacing w:after="0" w:line="240" w:lineRule="auto"/>
        <w:rPr>
          <w:rFonts w:ascii="Helvetica" w:hAnsi="Helvetica" w:cs="Helvetica"/>
        </w:rPr>
      </w:pPr>
    </w:p>
    <w:p w:rsidRPr="00A147DA" w:rsidR="00293369" w:rsidP="00A147DA" w:rsidRDefault="00293369">
      <w:pPr>
        <w:spacing w:after="0" w:line="240" w:lineRule="auto"/>
        <w:jc w:val="center"/>
        <w:rPr>
          <w:rFonts w:ascii="Helvetica" w:hAnsi="Helvetica" w:cs="Helvetica"/>
          <w:u w:val="single"/>
        </w:rPr>
      </w:pPr>
      <w:r w:rsidRPr="00A147DA">
        <w:rPr>
          <w:rFonts w:ascii="Helvetica" w:hAnsi="Helvetica" w:cs="Helvetica"/>
          <w:u w:val="single"/>
        </w:rPr>
        <w:t>Part B</w:t>
      </w:r>
    </w:p>
    <w:p w:rsidRPr="003C2140" w:rsidR="00A147DA" w:rsidP="00A147DA" w:rsidRDefault="00A147DA">
      <w:pPr>
        <w:spacing w:after="0" w:line="240" w:lineRule="auto"/>
        <w:jc w:val="center"/>
        <w:rPr>
          <w:rFonts w:ascii="Helvetica" w:hAnsi="Helvetica" w:cs="Helvetica"/>
        </w:rPr>
      </w:pPr>
    </w:p>
    <w:p w:rsidR="00293369" w:rsidP="00A147DA" w:rsidRDefault="00293369">
      <w:pPr>
        <w:spacing w:after="0" w:line="240" w:lineRule="auto"/>
        <w:jc w:val="center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This question must be answered.</w:t>
      </w:r>
    </w:p>
    <w:p w:rsidRPr="003C2140" w:rsidR="00A147DA" w:rsidP="00A147DA" w:rsidRDefault="00A147DA">
      <w:pPr>
        <w:spacing w:after="0" w:line="240" w:lineRule="auto"/>
        <w:jc w:val="center"/>
        <w:rPr>
          <w:rFonts w:ascii="Helvetica" w:hAnsi="Helvetica" w:cs="Helvetica"/>
        </w:rPr>
      </w:pPr>
    </w:p>
    <w:p w:rsidR="00D417E1" w:rsidP="003C2140" w:rsidRDefault="00293369">
      <w:pPr>
        <w:spacing w:after="0"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 xml:space="preserve">James is the managing director of A Ltd, a company that specialises in the sale of iron.  He is under a service contract of </w:t>
      </w:r>
      <w:r w:rsidR="00A147DA">
        <w:rPr>
          <w:rFonts w:ascii="Helvetica" w:hAnsi="Helvetica" w:cs="Helvetica"/>
        </w:rPr>
        <w:t>six</w:t>
      </w:r>
      <w:r w:rsidRPr="003C2140">
        <w:rPr>
          <w:rFonts w:ascii="Helvetica" w:hAnsi="Helvetica" w:cs="Helvetica"/>
        </w:rPr>
        <w:t xml:space="preserve"> years’ duration. </w:t>
      </w:r>
      <w:r w:rsidR="00A147DA">
        <w:rPr>
          <w:rFonts w:ascii="Helvetica" w:hAnsi="Helvetica" w:cs="Helvetica"/>
        </w:rPr>
        <w:t xml:space="preserve"> </w:t>
      </w:r>
      <w:r w:rsidRPr="003C2140">
        <w:rPr>
          <w:rFonts w:ascii="Helvetica" w:hAnsi="Helvetica" w:cs="Helvetica"/>
        </w:rPr>
        <w:t xml:space="preserve">James is approached by </w:t>
      </w:r>
      <w:proofErr w:type="spellStart"/>
      <w:r w:rsidRPr="003C2140">
        <w:rPr>
          <w:rFonts w:ascii="Helvetica" w:hAnsi="Helvetica" w:cs="Helvetica"/>
        </w:rPr>
        <w:t>Bena</w:t>
      </w:r>
      <w:proofErr w:type="spellEnd"/>
      <w:r w:rsidR="00A147DA">
        <w:rPr>
          <w:rFonts w:ascii="Helvetica" w:hAnsi="Helvetica" w:cs="Helvetica"/>
        </w:rPr>
        <w:t>;</w:t>
      </w:r>
      <w:r w:rsidRPr="003C2140">
        <w:rPr>
          <w:rFonts w:ascii="Helvetica" w:hAnsi="Helvetica" w:cs="Helvetica"/>
        </w:rPr>
        <w:t xml:space="preserve"> a representative for B Ltd.  </w:t>
      </w:r>
      <w:proofErr w:type="spellStart"/>
      <w:r w:rsidRPr="003C2140">
        <w:rPr>
          <w:rFonts w:ascii="Helvetica" w:hAnsi="Helvetica" w:cs="Helvetica"/>
        </w:rPr>
        <w:t>Bena</w:t>
      </w:r>
      <w:proofErr w:type="spellEnd"/>
      <w:r w:rsidRPr="003C2140">
        <w:rPr>
          <w:rFonts w:ascii="Helvetica" w:hAnsi="Helvetica" w:cs="Helvetica"/>
        </w:rPr>
        <w:t xml:space="preserve"> has asked James if he wishes to purchase a consignment of iron.  James agrees to purchase this.  Elizabeth is a director of A Ltd.  Elizabeth is a director of B Ltd also, but has not declared this to anyone in A Ltd.</w:t>
      </w:r>
      <w:r w:rsidR="00D417E1">
        <w:rPr>
          <w:rFonts w:ascii="Helvetica" w:hAnsi="Helvetica" w:cs="Helvetica"/>
        </w:rPr>
        <w:t xml:space="preserve"> </w:t>
      </w:r>
    </w:p>
    <w:p w:rsidR="00D417E1" w:rsidP="003C2140" w:rsidRDefault="00D417E1">
      <w:pPr>
        <w:spacing w:after="0" w:line="240" w:lineRule="auto"/>
        <w:rPr>
          <w:rFonts w:ascii="Helvetica" w:hAnsi="Helvetica" w:cs="Helvetica"/>
        </w:rPr>
      </w:pPr>
    </w:p>
    <w:p w:rsidRPr="003C2140" w:rsidR="00293369" w:rsidP="003C2140" w:rsidRDefault="00293369">
      <w:pPr>
        <w:spacing w:after="0"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Elizabeth has recently been offered 100 shares in B Ltd if she helps with any contracts with A Ltd.</w:t>
      </w:r>
    </w:p>
    <w:p w:rsidR="00A147DA" w:rsidP="003C2140" w:rsidRDefault="00A147DA">
      <w:pPr>
        <w:spacing w:after="0" w:line="240" w:lineRule="auto"/>
        <w:rPr>
          <w:rFonts w:ascii="Helvetica" w:hAnsi="Helvetica" w:cs="Helvetica"/>
        </w:rPr>
      </w:pPr>
    </w:p>
    <w:p w:rsidR="00A147DA" w:rsidP="003C2140" w:rsidRDefault="00293369">
      <w:pPr>
        <w:spacing w:after="0" w:line="240" w:lineRule="auto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Discuss the legal issues that arise.</w:t>
      </w:r>
      <w:r w:rsidR="00D417E1">
        <w:rPr>
          <w:rFonts w:ascii="Helvetica" w:hAnsi="Helvetica" w:cs="Helvetica"/>
        </w:rPr>
        <w:t xml:space="preserve"> </w:t>
      </w:r>
    </w:p>
    <w:p w:rsidR="00D417E1" w:rsidRDefault="00D417E1">
      <w:pPr>
        <w:spacing w:after="0" w:line="240" w:lineRule="auto"/>
        <w:rPr>
          <w:rFonts w:ascii="Helvetica" w:hAnsi="Helvetica" w:cs="Helvetica"/>
          <w:u w:val="single"/>
        </w:rPr>
      </w:pPr>
      <w:r>
        <w:rPr>
          <w:rFonts w:ascii="Helvetica" w:hAnsi="Helvetica" w:cs="Helvetica"/>
          <w:u w:val="single"/>
        </w:rPr>
        <w:br w:type="page"/>
      </w:r>
    </w:p>
    <w:p w:rsidRPr="00A147DA" w:rsidR="00293369" w:rsidP="00A147DA" w:rsidRDefault="00293369">
      <w:pPr>
        <w:spacing w:after="0" w:line="240" w:lineRule="auto"/>
        <w:jc w:val="center"/>
        <w:rPr>
          <w:rFonts w:ascii="Helvetica" w:hAnsi="Helvetica" w:cs="Helvetica"/>
          <w:u w:val="single"/>
        </w:rPr>
      </w:pPr>
      <w:r w:rsidRPr="00A147DA">
        <w:rPr>
          <w:rFonts w:ascii="Helvetica" w:hAnsi="Helvetica" w:cs="Helvetica"/>
          <w:u w:val="single"/>
        </w:rPr>
        <w:lastRenderedPageBreak/>
        <w:t>Part C</w:t>
      </w:r>
    </w:p>
    <w:p w:rsidRPr="003C2140" w:rsidR="00A147DA" w:rsidP="00A147DA" w:rsidRDefault="00A147DA">
      <w:pPr>
        <w:spacing w:after="0" w:line="240" w:lineRule="auto"/>
        <w:ind w:left="567" w:hanging="567"/>
        <w:jc w:val="center"/>
        <w:rPr>
          <w:rFonts w:ascii="Helvetica" w:hAnsi="Helvetica" w:cs="Helvetica"/>
        </w:rPr>
      </w:pPr>
    </w:p>
    <w:p w:rsidR="00D417E1" w:rsidP="00D417E1" w:rsidRDefault="00293369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D417E1">
        <w:rPr>
          <w:rFonts w:ascii="Helvetica" w:hAnsi="Helvetica" w:cs="Helvetica"/>
        </w:rPr>
        <w:t>Critically explain the value in lifting the veil of incorporation in appropriate circumstances.</w:t>
      </w:r>
    </w:p>
    <w:p w:rsidRPr="00D417E1" w:rsidR="00D417E1" w:rsidP="00D417E1" w:rsidRDefault="00D417E1">
      <w:pPr>
        <w:spacing w:after="0" w:line="240" w:lineRule="auto"/>
        <w:rPr>
          <w:rFonts w:ascii="Helvetica" w:hAnsi="Helvetica" w:cs="Helvetica"/>
        </w:rPr>
      </w:pPr>
      <w:bookmarkStart w:name="_GoBack" w:id="0"/>
      <w:bookmarkEnd w:id="0"/>
    </w:p>
    <w:p w:rsidR="00293369" w:rsidP="00A147DA" w:rsidRDefault="00293369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Do you think the UK’s approach to Corporate Governance is a suitable model?  Explain your answer.</w:t>
      </w:r>
    </w:p>
    <w:p w:rsidR="00A147DA" w:rsidP="00A147DA" w:rsidRDefault="00A147DA">
      <w:pPr>
        <w:pStyle w:val="ListParagraph"/>
        <w:ind w:left="567" w:hanging="567"/>
        <w:rPr>
          <w:rFonts w:ascii="Helvetica" w:hAnsi="Helvetica" w:cs="Helvetica"/>
        </w:rPr>
      </w:pPr>
    </w:p>
    <w:p w:rsidR="00293369" w:rsidP="00A147DA" w:rsidRDefault="00293369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 xml:space="preserve">Explain the different types of shares that a company can issue to prospective shareholders.  What are the differences between share capital and loan </w:t>
      </w:r>
      <w:r w:rsidRPr="003C2140" w:rsidR="00A147DA">
        <w:rPr>
          <w:rFonts w:ascii="Helvetica" w:hAnsi="Helvetica" w:cs="Helvetica"/>
        </w:rPr>
        <w:t>capital?</w:t>
      </w:r>
    </w:p>
    <w:p w:rsidR="00A147DA" w:rsidP="00A147DA" w:rsidRDefault="00A147DA">
      <w:pPr>
        <w:pStyle w:val="ListParagraph"/>
        <w:ind w:left="567" w:hanging="567"/>
        <w:rPr>
          <w:rFonts w:ascii="Helvetica" w:hAnsi="Helvetica" w:cs="Helvetica"/>
        </w:rPr>
      </w:pPr>
    </w:p>
    <w:p w:rsidRPr="003C2140" w:rsidR="00293369" w:rsidP="00A147DA" w:rsidRDefault="00293369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3C2140">
        <w:rPr>
          <w:rFonts w:ascii="Helvetica" w:hAnsi="Helvetica" w:cs="Helvetica"/>
        </w:rPr>
        <w:t>Analyse the nature of and effect of the articles of association.</w:t>
      </w:r>
    </w:p>
    <w:p w:rsidR="000C61F7" w:rsidP="003C2140" w:rsidRDefault="000C61F7">
      <w:pPr>
        <w:spacing w:after="0" w:line="240" w:lineRule="auto"/>
        <w:rPr>
          <w:rFonts w:ascii="Helvetica" w:hAnsi="Helvetica" w:cs="Helvetica"/>
        </w:rPr>
      </w:pPr>
    </w:p>
    <w:p w:rsidR="00A147DA" w:rsidP="003C2140" w:rsidRDefault="00A147DA">
      <w:pPr>
        <w:spacing w:after="0" w:line="240" w:lineRule="auto"/>
        <w:rPr>
          <w:rFonts w:ascii="Helvetica" w:hAnsi="Helvetica" w:cs="Helvetica"/>
        </w:rPr>
      </w:pPr>
    </w:p>
    <w:p w:rsidRPr="00A147DA" w:rsidR="00A147DA" w:rsidP="00A147DA" w:rsidRDefault="00A147DA">
      <w:pPr>
        <w:spacing w:after="0" w:line="240" w:lineRule="auto"/>
        <w:jc w:val="center"/>
        <w:rPr>
          <w:rFonts w:ascii="Helvetica" w:hAnsi="Helvetica" w:cs="Helvetica"/>
          <w:b/>
        </w:rPr>
      </w:pPr>
      <w:r w:rsidRPr="00A147DA">
        <w:rPr>
          <w:rFonts w:ascii="Helvetica" w:hAnsi="Helvetica" w:cs="Helvetica"/>
          <w:b/>
        </w:rPr>
        <w:t>END OF EXAMINATION</w:t>
      </w:r>
    </w:p>
    <w:sectPr w:rsidRPr="00A147DA" w:rsidR="00A147DA" w:rsidSect="003C2140">
      <w:headerReference w:type="default" r:id="rId12"/>
      <w:footerReference w:type="default" r:id="rId13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120" w:rsidRDefault="00E85120" w:rsidP="00A147DA">
      <w:pPr>
        <w:spacing w:after="0" w:line="240" w:lineRule="auto"/>
      </w:pPr>
      <w:r>
        <w:separator/>
      </w:r>
    </w:p>
  </w:endnote>
  <w:endnote w:type="continuationSeparator" w:id="0">
    <w:p w:rsidR="00E85120" w:rsidRDefault="00E85120" w:rsidP="00A1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7DA" w:rsidRPr="00A147DA" w:rsidRDefault="00A147DA">
    <w:pPr>
      <w:pStyle w:val="Footer"/>
      <w:jc w:val="center"/>
      <w:rPr>
        <w:rFonts w:ascii="Helvetica" w:hAnsi="Helvetica" w:cs="Helvetica"/>
      </w:rPr>
    </w:pPr>
    <w:r w:rsidRPr="00A147DA">
      <w:rPr>
        <w:rFonts w:ascii="Helvetica" w:hAnsi="Helvetica" w:cs="Helvetica"/>
      </w:rPr>
      <w:t xml:space="preserve">Page </w:t>
    </w:r>
    <w:r w:rsidRPr="00A147DA">
      <w:rPr>
        <w:rFonts w:ascii="Helvetica" w:hAnsi="Helvetica" w:cs="Helvetica"/>
        <w:b/>
        <w:bCs/>
        <w:sz w:val="24"/>
        <w:szCs w:val="24"/>
      </w:rPr>
      <w:fldChar w:fldCharType="begin"/>
    </w:r>
    <w:r w:rsidRPr="00A147DA">
      <w:rPr>
        <w:rFonts w:ascii="Helvetica" w:hAnsi="Helvetica" w:cs="Helvetica"/>
        <w:b/>
        <w:bCs/>
      </w:rPr>
      <w:instrText xml:space="preserve"> PAGE </w:instrText>
    </w:r>
    <w:r w:rsidRPr="00A147DA">
      <w:rPr>
        <w:rFonts w:ascii="Helvetica" w:hAnsi="Helvetica" w:cs="Helvetica"/>
        <w:b/>
        <w:bCs/>
        <w:sz w:val="24"/>
        <w:szCs w:val="24"/>
      </w:rPr>
      <w:fldChar w:fldCharType="separate"/>
    </w:r>
    <w:r w:rsidR="00B67EA1">
      <w:rPr>
        <w:rFonts w:ascii="Helvetica" w:hAnsi="Helvetica" w:cs="Helvetica"/>
        <w:b/>
        <w:bCs/>
        <w:noProof/>
      </w:rPr>
      <w:t>2</w:t>
    </w:r>
    <w:r w:rsidRPr="00A147DA">
      <w:rPr>
        <w:rFonts w:ascii="Helvetica" w:hAnsi="Helvetica" w:cs="Helvetica"/>
        <w:b/>
        <w:bCs/>
        <w:sz w:val="24"/>
        <w:szCs w:val="24"/>
      </w:rPr>
      <w:fldChar w:fldCharType="end"/>
    </w:r>
    <w:r w:rsidRPr="00A147DA">
      <w:rPr>
        <w:rFonts w:ascii="Helvetica" w:hAnsi="Helvetica" w:cs="Helvetica"/>
      </w:rPr>
      <w:t xml:space="preserve"> of </w:t>
    </w:r>
    <w:r w:rsidRPr="00A147DA">
      <w:rPr>
        <w:rFonts w:ascii="Helvetica" w:hAnsi="Helvetica" w:cs="Helvetica"/>
        <w:b/>
        <w:bCs/>
        <w:sz w:val="24"/>
        <w:szCs w:val="24"/>
      </w:rPr>
      <w:fldChar w:fldCharType="begin"/>
    </w:r>
    <w:r w:rsidRPr="00A147DA">
      <w:rPr>
        <w:rFonts w:ascii="Helvetica" w:hAnsi="Helvetica" w:cs="Helvetica"/>
        <w:b/>
        <w:bCs/>
      </w:rPr>
      <w:instrText xml:space="preserve"> NUMPAGES  </w:instrText>
    </w:r>
    <w:r w:rsidRPr="00A147DA">
      <w:rPr>
        <w:rFonts w:ascii="Helvetica" w:hAnsi="Helvetica" w:cs="Helvetica"/>
        <w:b/>
        <w:bCs/>
        <w:sz w:val="24"/>
        <w:szCs w:val="24"/>
      </w:rPr>
      <w:fldChar w:fldCharType="separate"/>
    </w:r>
    <w:r w:rsidR="00B67EA1">
      <w:rPr>
        <w:rFonts w:ascii="Helvetica" w:hAnsi="Helvetica" w:cs="Helvetica"/>
        <w:b/>
        <w:bCs/>
        <w:noProof/>
      </w:rPr>
      <w:t>5</w:t>
    </w:r>
    <w:r w:rsidRPr="00A147DA">
      <w:rPr>
        <w:rFonts w:ascii="Helvetica" w:hAnsi="Helvetica" w:cs="Helvetica"/>
        <w:b/>
        <w:bCs/>
        <w:sz w:val="24"/>
        <w:szCs w:val="24"/>
      </w:rPr>
      <w:fldChar w:fldCharType="end"/>
    </w:r>
  </w:p>
  <w:p w:rsidR="00A147DA" w:rsidRDefault="00A14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120" w:rsidRDefault="00E85120" w:rsidP="00A147DA">
      <w:pPr>
        <w:spacing w:after="0" w:line="240" w:lineRule="auto"/>
      </w:pPr>
      <w:r>
        <w:separator/>
      </w:r>
    </w:p>
  </w:footnote>
  <w:footnote w:type="continuationSeparator" w:id="0">
    <w:p w:rsidR="00E85120" w:rsidRDefault="00E85120" w:rsidP="00A14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7DA" w:rsidRPr="00A147DA" w:rsidRDefault="00A147DA">
    <w:pPr>
      <w:pStyle w:val="Header"/>
      <w:rPr>
        <w:rFonts w:ascii="Helvetica" w:hAnsi="Helvetica" w:cs="Helvetica"/>
        <w:b/>
        <w:sz w:val="18"/>
      </w:rPr>
    </w:pPr>
    <w:r w:rsidRPr="00A147DA">
      <w:rPr>
        <w:rFonts w:ascii="Helvetica" w:hAnsi="Helvetica" w:cs="Helvetica"/>
        <w:b/>
        <w:sz w:val="18"/>
      </w:rPr>
      <w:t>M/LAW5017/SEM1/</w:t>
    </w:r>
    <w:r>
      <w:rPr>
        <w:rFonts w:ascii="Helvetica" w:hAnsi="Helvetica" w:cs="Helvetica"/>
        <w:b/>
        <w:sz w:val="18"/>
      </w:rPr>
      <w:t>JAN2020/5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3232A"/>
    <w:multiLevelType w:val="hybridMultilevel"/>
    <w:tmpl w:val="E744C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36587"/>
    <w:multiLevelType w:val="hybridMultilevel"/>
    <w:tmpl w:val="55667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69"/>
    <w:rsid w:val="000C61F7"/>
    <w:rsid w:val="00293369"/>
    <w:rsid w:val="003C2140"/>
    <w:rsid w:val="00643165"/>
    <w:rsid w:val="00A147DA"/>
    <w:rsid w:val="00B67EA1"/>
    <w:rsid w:val="00D417E1"/>
    <w:rsid w:val="00DF1D1C"/>
    <w:rsid w:val="00E85120"/>
    <w:rsid w:val="00EA6BD6"/>
    <w:rsid w:val="00F2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54526A3D"/>
  <w15:chartTrackingRefBased/>
  <w15:docId w15:val="{C7AACF22-E335-455F-945C-6E17B05C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369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3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2140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147D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147D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147D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47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84C32A-F26B-4627-8230-9A5D320EFD6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180087-F19A-4D91-B0B2-344C2ED8C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A96C3-ADD5-431F-B197-6F9E85EAAA4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00814C6-9951-41FD-91CA-CC10BC413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CB52EE-BC2C-4A51-A86F-3A62E52729D7}">
  <ds:schemaRefs>
    <ds:schemaRef ds:uri="http://purl.org/dc/elements/1.1/"/>
    <ds:schemaRef ds:uri="559e8a90-c5f0-4960-93bb-48a9a6be2d22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LAW5017 1920</dc:title>
  <dc:subject>LAW5017</dc:subject>
  <dc:creator>Nabil Rafiq</dc:creator>
  <cp:keywords>
  </cp:keywords>
  <dc:description>
  </dc:description>
  <cp:lastModifiedBy>Stephanie Dobbin</cp:lastModifiedBy>
  <cp:revision>3</cp:revision>
  <cp:lastPrinted>2019-11-04T12:29:00Z</cp:lastPrinted>
  <dcterms:created xsi:type="dcterms:W3CDTF">2021-04-15T14:31:00Z</dcterms:created>
  <dcterms:modified xsi:type="dcterms:W3CDTF">2021-04-15T15:06:46Z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R63NPHTH4QFH-1291-1168</vt:lpwstr>
  </property>
  <property fmtid="{D5CDD505-2E9C-101B-9397-08002B2CF9AE}" pid="3" name="_dlc_DocIdItemGuid">
    <vt:lpwstr>c9ff9db5-fca8-43cb-8bd0-4179e2da47bf</vt:lpwstr>
  </property>
  <property fmtid="{D5CDD505-2E9C-101B-9397-08002B2CF9AE}" pid="4" name="_dlc_DocIdUrl">
    <vt:lpwstr>https://staffnet.stmarys.ac.uk/academic-services/Registry/exam-paper-submission/_layouts/15/DocIdRedir.aspx?ID=R63NPHTH4QFH-1291-1168, R63NPHTH4QFH-1291-1168</vt:lpwstr>
  </property>
</Properties>
</file>