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546A7" w:rsidR="00B546A7" w:rsidP="00B546A7" w:rsidRDefault="00B546A7" w14:paraId="42B242C1" w14:textId="77777777">
      <w:pPr>
        <w:pStyle w:val="Default"/>
        <w:ind w:left="720"/>
        <w:jc w:val="center"/>
        <w:rPr>
          <w:sz w:val="40"/>
          <w:szCs w:val="40"/>
        </w:rPr>
      </w:pPr>
      <w:r w:rsidRPr="00B546A7">
        <w:rPr>
          <w:b/>
          <w:bCs/>
          <w:sz w:val="40"/>
          <w:szCs w:val="40"/>
        </w:rPr>
        <w:t>ST MARY’S UNIVERSITY</w:t>
      </w:r>
    </w:p>
    <w:p w:rsidRPr="00B546A7" w:rsidR="00B546A7" w:rsidP="00B546A7" w:rsidRDefault="00B546A7" w14:paraId="4BB7B5C3" w14:textId="77777777">
      <w:pPr>
        <w:pStyle w:val="Default"/>
        <w:ind w:left="720"/>
        <w:jc w:val="center"/>
        <w:rPr>
          <w:sz w:val="36"/>
          <w:szCs w:val="36"/>
        </w:rPr>
      </w:pPr>
      <w:r w:rsidRPr="00B546A7">
        <w:rPr>
          <w:b/>
          <w:bCs/>
          <w:sz w:val="36"/>
          <w:szCs w:val="36"/>
        </w:rPr>
        <w:t>TWICKENHAM, LONDON</w:t>
      </w:r>
    </w:p>
    <w:p w:rsidRPr="00BB7D81" w:rsidR="00B546A7" w:rsidP="00B546A7" w:rsidRDefault="00B546A7" w14:paraId="61C4D6E6" w14:textId="77777777">
      <w:pPr>
        <w:pStyle w:val="Default"/>
        <w:ind w:left="720"/>
        <w:jc w:val="center"/>
        <w:rPr>
          <w:sz w:val="22"/>
          <w:szCs w:val="22"/>
        </w:rPr>
      </w:pPr>
      <w:r w:rsidRPr="00BB7D81">
        <w:rPr>
          <w:sz w:val="22"/>
          <w:szCs w:val="22"/>
        </w:rPr>
        <w:t>MSc Degree Examination students registered for</w:t>
      </w:r>
    </w:p>
    <w:p w:rsidRPr="00BB7D81" w:rsidR="00B546A7" w:rsidP="00B546A7" w:rsidRDefault="00B546A7" w14:paraId="57752652" w14:textId="77777777">
      <w:pPr>
        <w:spacing w:after="0" w:line="240" w:lineRule="auto"/>
        <w:jc w:val="center"/>
        <w:rPr>
          <w:rFonts w:ascii="Helvetica" w:hAnsi="Helvetica"/>
          <w:b/>
        </w:rPr>
      </w:pPr>
      <w:r w:rsidRPr="00BB7D81">
        <w:rPr>
          <w:rFonts w:ascii="Helvetica" w:hAnsi="Helvetica"/>
        </w:rPr>
        <w:t xml:space="preserve">Level </w:t>
      </w:r>
      <w:r w:rsidRPr="00BB7D81">
        <w:rPr>
          <w:rFonts w:ascii="Helvetica" w:hAnsi="Helvetica"/>
          <w:b/>
        </w:rPr>
        <w:t>SEVEN</w:t>
      </w:r>
    </w:p>
    <w:p w:rsidRPr="00BB7D81" w:rsidR="00B546A7" w:rsidP="00B546A7" w:rsidRDefault="00B546A7" w14:paraId="444BFFCA" w14:textId="77777777">
      <w:pPr>
        <w:spacing w:after="0" w:line="240" w:lineRule="auto"/>
        <w:jc w:val="center"/>
        <w:rPr>
          <w:rFonts w:ascii="Helvetica" w:hAnsi="Helvetica"/>
          <w:b/>
        </w:rPr>
      </w:pPr>
    </w:p>
    <w:p w:rsidRPr="00BB7D81" w:rsidR="00B546A7" w:rsidP="00B546A7" w:rsidRDefault="00B546A7" w14:paraId="32A0C6B8" w14:textId="0F97EF6F">
      <w:pPr>
        <w:spacing w:after="0" w:line="240" w:lineRule="auto"/>
        <w:jc w:val="both"/>
        <w:rPr>
          <w:rFonts w:ascii="Helvetica" w:hAnsi="Helvetica"/>
          <w:b/>
          <w:color w:val="000000" w:themeColor="text1"/>
        </w:rPr>
      </w:pPr>
      <w:r w:rsidRPr="00BB7D81">
        <w:rPr>
          <w:rFonts w:ascii="Helvetica" w:hAnsi="Helvetica"/>
          <w:color w:val="000000" w:themeColor="text1"/>
        </w:rPr>
        <w:t>Title:</w:t>
      </w:r>
      <w:r w:rsidRPr="00BB7D81">
        <w:rPr>
          <w:rFonts w:ascii="Helvetica" w:hAnsi="Helvetica"/>
          <w:b/>
          <w:color w:val="000000" w:themeColor="text1"/>
        </w:rPr>
        <w:t xml:space="preserve"> </w:t>
      </w:r>
      <w:r w:rsidRPr="00B546A7">
        <w:rPr>
          <w:rFonts w:ascii="Helvetica" w:hAnsi="Helvetica" w:cs="Helvetica"/>
          <w:b/>
          <w:bCs/>
        </w:rPr>
        <w:t>Clinical Anatomy and Physiology</w:t>
      </w:r>
    </w:p>
    <w:p w:rsidRPr="00BB7D81" w:rsidR="00B546A7" w:rsidP="00B546A7" w:rsidRDefault="00B546A7" w14:paraId="5CF44E9E" w14:textId="77777777">
      <w:pPr>
        <w:spacing w:after="0" w:line="240" w:lineRule="auto"/>
        <w:jc w:val="both"/>
        <w:rPr>
          <w:rFonts w:ascii="Helvetica" w:hAnsi="Helvetica"/>
          <w:b/>
          <w:color w:val="000000" w:themeColor="text1"/>
        </w:rPr>
      </w:pPr>
    </w:p>
    <w:p w:rsidR="00BC00E0" w:rsidP="00B546A7" w:rsidRDefault="00B546A7" w14:paraId="49D28905" w14:textId="77777777">
      <w:pPr>
        <w:spacing w:after="0" w:line="240" w:lineRule="auto"/>
        <w:jc w:val="both"/>
        <w:rPr>
          <w:rFonts w:ascii="Helvetica" w:hAnsi="Helvetica"/>
          <w:b/>
          <w:color w:val="000000" w:themeColor="text1"/>
        </w:rPr>
      </w:pPr>
      <w:r w:rsidRPr="00BB7D81">
        <w:rPr>
          <w:rFonts w:ascii="Helvetica" w:hAnsi="Helvetica"/>
          <w:color w:val="000000" w:themeColor="text1"/>
        </w:rPr>
        <w:t>Code:</w:t>
      </w:r>
      <w:r w:rsidRPr="00BB7D81">
        <w:rPr>
          <w:rFonts w:ascii="Helvetica" w:hAnsi="Helvetica"/>
          <w:b/>
          <w:color w:val="000000" w:themeColor="text1"/>
        </w:rPr>
        <w:t xml:space="preserve"> </w:t>
      </w:r>
      <w:r>
        <w:rPr>
          <w:rFonts w:ascii="Helvetica" w:hAnsi="Helvetica"/>
          <w:b/>
          <w:color w:val="000000" w:themeColor="text1"/>
        </w:rPr>
        <w:t>SPR7013</w:t>
      </w:r>
    </w:p>
    <w:p w:rsidRPr="00BB7D81" w:rsidR="00B546A7" w:rsidP="00B546A7" w:rsidRDefault="00B546A7" w14:paraId="2378F212" w14:textId="48B10325">
      <w:pPr>
        <w:spacing w:after="0" w:line="240" w:lineRule="auto"/>
        <w:jc w:val="both"/>
        <w:rPr>
          <w:rFonts w:ascii="Helvetica" w:hAnsi="Helvetica"/>
          <w:b/>
          <w:color w:val="000000" w:themeColor="text1"/>
        </w:rPr>
      </w:pPr>
      <w:r w:rsidRPr="00BB7D81">
        <w:rPr>
          <w:rFonts w:ascii="Helvetica" w:hAnsi="Helvetica"/>
          <w:color w:val="000000" w:themeColor="text1"/>
        </w:rPr>
        <w:t>Semester:</w:t>
      </w:r>
      <w:r w:rsidRPr="00BB7D81">
        <w:rPr>
          <w:rFonts w:ascii="Helvetica" w:hAnsi="Helvetica"/>
          <w:b/>
          <w:color w:val="000000" w:themeColor="text1"/>
        </w:rPr>
        <w:t xml:space="preserve"> </w:t>
      </w:r>
      <w:r>
        <w:rPr>
          <w:rFonts w:ascii="Helvetica" w:hAnsi="Helvetica"/>
          <w:b/>
          <w:color w:val="000000" w:themeColor="text1"/>
        </w:rPr>
        <w:t>RESIT</w:t>
      </w:r>
    </w:p>
    <w:p w:rsidRPr="00BB7D81" w:rsidR="00B546A7" w:rsidP="00B546A7" w:rsidRDefault="00B546A7" w14:paraId="71EB5AE0" w14:textId="77777777">
      <w:pPr>
        <w:spacing w:after="0" w:line="240" w:lineRule="auto"/>
        <w:jc w:val="both"/>
        <w:rPr>
          <w:rFonts w:ascii="Helvetica" w:hAnsi="Helvetica"/>
          <w:b/>
          <w:color w:val="000000" w:themeColor="text1"/>
        </w:rPr>
      </w:pPr>
    </w:p>
    <w:p w:rsidR="00BC00E0" w:rsidP="00B546A7" w:rsidRDefault="00B546A7" w14:paraId="38672B7A" w14:textId="77777777">
      <w:pPr>
        <w:spacing w:after="0" w:line="240" w:lineRule="auto"/>
        <w:jc w:val="both"/>
        <w:rPr>
          <w:rFonts w:ascii="Helvetica" w:hAnsi="Helvetica"/>
          <w:b/>
          <w:color w:val="000000" w:themeColor="text1"/>
        </w:rPr>
      </w:pPr>
      <w:r w:rsidRPr="00BB7D81">
        <w:rPr>
          <w:rFonts w:ascii="Helvetica" w:hAnsi="Helvetica"/>
          <w:color w:val="000000" w:themeColor="text1"/>
        </w:rPr>
        <w:t>Date:</w:t>
      </w:r>
      <w:r w:rsidRPr="00BB7D81">
        <w:rPr>
          <w:rFonts w:ascii="Helvetica" w:hAnsi="Helvetica"/>
          <w:b/>
          <w:color w:val="000000" w:themeColor="text1"/>
        </w:rPr>
        <w:t xml:space="preserve"> </w:t>
      </w:r>
      <w:r>
        <w:rPr>
          <w:rFonts w:ascii="Helvetica" w:hAnsi="Helvetica"/>
          <w:b/>
          <w:color w:val="000000" w:themeColor="text1"/>
        </w:rPr>
        <w:t>February 27</w:t>
      </w:r>
      <w:r w:rsidRPr="00B546A7">
        <w:rPr>
          <w:rFonts w:ascii="Helvetica" w:hAnsi="Helvetica"/>
          <w:b/>
          <w:color w:val="000000" w:themeColor="text1"/>
          <w:vertAlign w:val="superscript"/>
        </w:rPr>
        <w:t>th</w:t>
      </w:r>
      <w:r>
        <w:rPr>
          <w:rFonts w:ascii="Helvetica" w:hAnsi="Helvetica"/>
          <w:b/>
          <w:color w:val="000000" w:themeColor="text1"/>
        </w:rPr>
        <w:t xml:space="preserve"> </w:t>
      </w:r>
      <w:r w:rsidRPr="00BB7D81">
        <w:rPr>
          <w:rFonts w:ascii="Helvetica" w:hAnsi="Helvetica"/>
          <w:b/>
          <w:color w:val="000000" w:themeColor="text1"/>
        </w:rPr>
        <w:t>2019</w:t>
      </w:r>
    </w:p>
    <w:p w:rsidRPr="00BB7D81" w:rsidR="00B546A7" w:rsidP="00B546A7" w:rsidRDefault="00B546A7" w14:paraId="6D0A485F" w14:textId="0E539AD2">
      <w:pPr>
        <w:spacing w:after="0" w:line="240" w:lineRule="auto"/>
        <w:jc w:val="both"/>
        <w:rPr>
          <w:rFonts w:ascii="Helvetica" w:hAnsi="Helvetica"/>
          <w:b/>
          <w:color w:val="000000" w:themeColor="text1"/>
        </w:rPr>
      </w:pPr>
      <w:r w:rsidRPr="00BB7D81">
        <w:rPr>
          <w:rFonts w:ascii="Helvetica" w:hAnsi="Helvetica"/>
          <w:color w:val="000000" w:themeColor="text1"/>
        </w:rPr>
        <w:t>Time:</w:t>
      </w:r>
      <w:r w:rsidRPr="00BB7D81">
        <w:rPr>
          <w:rFonts w:ascii="Helvetica" w:hAnsi="Helvetica"/>
          <w:b/>
          <w:color w:val="000000" w:themeColor="text1"/>
        </w:rPr>
        <w:t xml:space="preserve"> </w:t>
      </w:r>
      <w:r w:rsidR="00FA1CC9">
        <w:rPr>
          <w:rFonts w:ascii="Helvetica" w:hAnsi="Helvetica"/>
          <w:b/>
          <w:color w:val="000000" w:themeColor="text1"/>
        </w:rPr>
        <w:t>9:30AM – 12:30 PM</w:t>
      </w:r>
    </w:p>
    <w:p w:rsidRPr="00BB7D81" w:rsidR="00B546A7" w:rsidP="00B546A7" w:rsidRDefault="00B546A7" w14:paraId="3E874E3C" w14:textId="77777777">
      <w:pPr>
        <w:spacing w:after="0" w:line="240" w:lineRule="auto"/>
        <w:jc w:val="both"/>
        <w:rPr>
          <w:rFonts w:ascii="Helvetica" w:hAnsi="Helvetica"/>
          <w:b/>
          <w:color w:val="000000" w:themeColor="text1"/>
        </w:rPr>
      </w:pPr>
    </w:p>
    <w:p w:rsidR="00120EAB" w:rsidP="00120EAB" w:rsidRDefault="00120EAB" w14:paraId="0E4BE18D" w14:textId="6EA0DD22">
      <w:pPr>
        <w:pStyle w:val="Default"/>
        <w:rPr>
          <w:sz w:val="22"/>
          <w:szCs w:val="22"/>
        </w:rPr>
      </w:pPr>
      <w:r>
        <w:rPr>
          <w:sz w:val="22"/>
          <w:szCs w:val="22"/>
        </w:rPr>
        <w:t xml:space="preserve">TIME ALLOWED: </w:t>
      </w:r>
      <w:r w:rsidR="00B546A7">
        <w:rPr>
          <w:b/>
          <w:bCs/>
          <w:sz w:val="22"/>
          <w:szCs w:val="22"/>
        </w:rPr>
        <w:t>THREE</w:t>
      </w:r>
      <w:r>
        <w:rPr>
          <w:b/>
          <w:bCs/>
          <w:sz w:val="22"/>
          <w:szCs w:val="22"/>
        </w:rPr>
        <w:t xml:space="preserve"> </w:t>
      </w:r>
      <w:r>
        <w:rPr>
          <w:sz w:val="22"/>
          <w:szCs w:val="22"/>
        </w:rPr>
        <w:t xml:space="preserve">HOURS </w:t>
      </w:r>
    </w:p>
    <w:p w:rsidR="00B546A7" w:rsidP="00120EAB" w:rsidRDefault="00B546A7" w14:paraId="20A1CE72" w14:textId="77777777">
      <w:pPr>
        <w:pStyle w:val="Default"/>
        <w:rPr>
          <w:sz w:val="22"/>
          <w:szCs w:val="22"/>
        </w:rPr>
      </w:pPr>
    </w:p>
    <w:p w:rsidR="00BC00E0" w:rsidP="00BC00E0" w:rsidRDefault="00120EAB" w14:paraId="0F004757" w14:textId="77777777">
      <w:pPr>
        <w:pStyle w:val="Default"/>
        <w:rPr>
          <w:sz w:val="22"/>
          <w:szCs w:val="22"/>
        </w:rPr>
      </w:pPr>
      <w:r>
        <w:rPr>
          <w:sz w:val="22"/>
          <w:szCs w:val="22"/>
        </w:rPr>
        <w:t xml:space="preserve">Answer </w:t>
      </w:r>
      <w:r w:rsidRPr="00B546A7">
        <w:rPr>
          <w:b/>
          <w:sz w:val="22"/>
          <w:szCs w:val="22"/>
        </w:rPr>
        <w:t>BOTH</w:t>
      </w:r>
      <w:r>
        <w:rPr>
          <w:sz w:val="22"/>
          <w:szCs w:val="22"/>
        </w:rPr>
        <w:t xml:space="preserve"> </w:t>
      </w:r>
      <w:r w:rsidR="00B546A7">
        <w:rPr>
          <w:sz w:val="22"/>
          <w:szCs w:val="22"/>
        </w:rPr>
        <w:t>sections</w:t>
      </w:r>
      <w:r>
        <w:rPr>
          <w:sz w:val="22"/>
          <w:szCs w:val="22"/>
        </w:rPr>
        <w:t>.</w:t>
      </w:r>
    </w:p>
    <w:p w:rsidR="00BC00E0" w:rsidP="00BC00E0" w:rsidRDefault="00BC00E0" w14:paraId="3AC9B76A" w14:textId="77777777">
      <w:pPr>
        <w:pStyle w:val="Default"/>
        <w:rPr>
          <w:sz w:val="22"/>
          <w:szCs w:val="22"/>
          <w:u w:val="single"/>
        </w:rPr>
      </w:pPr>
    </w:p>
    <w:p w:rsidRPr="0020385E" w:rsidR="00120EAB" w:rsidP="00BC00E0" w:rsidRDefault="00120EAB" w14:paraId="0E4BE191" w14:textId="18BD8CA8">
      <w:pPr>
        <w:pStyle w:val="Default"/>
        <w:jc w:val="center"/>
        <w:rPr>
          <w:sz w:val="22"/>
          <w:szCs w:val="22"/>
          <w:u w:val="single"/>
        </w:rPr>
      </w:pPr>
      <w:bookmarkStart w:name="_GoBack" w:id="0"/>
      <w:bookmarkEnd w:id="0"/>
      <w:r w:rsidRPr="0020385E">
        <w:rPr>
          <w:sz w:val="22"/>
          <w:szCs w:val="22"/>
          <w:u w:val="single"/>
        </w:rPr>
        <w:t xml:space="preserve">Section A- Answer </w:t>
      </w:r>
      <w:r w:rsidRPr="0020385E">
        <w:rPr>
          <w:b/>
          <w:bCs/>
          <w:sz w:val="22"/>
          <w:szCs w:val="22"/>
          <w:u w:val="single"/>
        </w:rPr>
        <w:t xml:space="preserve">TWO </w:t>
      </w:r>
      <w:r w:rsidRPr="0020385E">
        <w:rPr>
          <w:sz w:val="22"/>
          <w:szCs w:val="22"/>
          <w:u w:val="single"/>
        </w:rPr>
        <w:t>questions</w:t>
      </w:r>
      <w:r w:rsidR="0020385E">
        <w:rPr>
          <w:sz w:val="22"/>
          <w:szCs w:val="22"/>
          <w:u w:val="single"/>
        </w:rPr>
        <w:t>.</w:t>
      </w:r>
    </w:p>
    <w:p w:rsidR="00120EAB" w:rsidP="00120EAB" w:rsidRDefault="00120EAB" w14:paraId="0E4BE193" w14:textId="77777777">
      <w:pPr>
        <w:pStyle w:val="Default"/>
        <w:rPr>
          <w:sz w:val="22"/>
          <w:szCs w:val="22"/>
        </w:rPr>
      </w:pPr>
    </w:p>
    <w:p w:rsidR="00120EAB" w:rsidP="0020385E" w:rsidRDefault="00120EAB" w14:paraId="0E4BE194" w14:textId="7E63629C">
      <w:pPr>
        <w:pStyle w:val="Default"/>
        <w:numPr>
          <w:ilvl w:val="0"/>
          <w:numId w:val="1"/>
        </w:numPr>
        <w:ind w:left="567" w:hanging="567"/>
        <w:rPr>
          <w:sz w:val="22"/>
          <w:szCs w:val="22"/>
        </w:rPr>
      </w:pPr>
      <w:r>
        <w:rPr>
          <w:sz w:val="22"/>
          <w:szCs w:val="22"/>
        </w:rPr>
        <w:t>Explain the process of bone healing post fracture (25</w:t>
      </w:r>
      <w:r w:rsidR="0020385E">
        <w:rPr>
          <w:sz w:val="22"/>
          <w:szCs w:val="22"/>
        </w:rPr>
        <w:t xml:space="preserve"> marks</w:t>
      </w:r>
      <w:r>
        <w:rPr>
          <w:sz w:val="22"/>
          <w:szCs w:val="22"/>
        </w:rPr>
        <w:t>)</w:t>
      </w:r>
      <w:r w:rsidR="0020385E">
        <w:rPr>
          <w:sz w:val="22"/>
          <w:szCs w:val="22"/>
        </w:rPr>
        <w:t>.</w:t>
      </w:r>
      <w:r>
        <w:rPr>
          <w:sz w:val="22"/>
          <w:szCs w:val="22"/>
        </w:rPr>
        <w:t xml:space="preserve"> Discuss </w:t>
      </w:r>
      <w:r w:rsidR="0020385E">
        <w:rPr>
          <w:sz w:val="22"/>
          <w:szCs w:val="22"/>
        </w:rPr>
        <w:t>three</w:t>
      </w:r>
      <w:r>
        <w:rPr>
          <w:sz w:val="22"/>
          <w:szCs w:val="22"/>
        </w:rPr>
        <w:t xml:space="preserve"> factors that affect healing, using supporting evidence (10</w:t>
      </w:r>
      <w:r w:rsidR="0020385E">
        <w:rPr>
          <w:sz w:val="22"/>
          <w:szCs w:val="22"/>
        </w:rPr>
        <w:t xml:space="preserve"> marks</w:t>
      </w:r>
      <w:r>
        <w:rPr>
          <w:sz w:val="22"/>
          <w:szCs w:val="22"/>
        </w:rPr>
        <w:t>)</w:t>
      </w:r>
      <w:r w:rsidR="0020385E">
        <w:rPr>
          <w:sz w:val="22"/>
          <w:szCs w:val="22"/>
        </w:rPr>
        <w:t>.</w:t>
      </w:r>
      <w:r>
        <w:rPr>
          <w:sz w:val="22"/>
          <w:szCs w:val="22"/>
        </w:rPr>
        <w:t xml:space="preserve"> </w:t>
      </w:r>
    </w:p>
    <w:p w:rsidR="00120EAB" w:rsidP="0020385E" w:rsidRDefault="00120EAB" w14:paraId="0E4BE195" w14:textId="77777777">
      <w:pPr>
        <w:pStyle w:val="Default"/>
        <w:ind w:left="567" w:hanging="567"/>
        <w:rPr>
          <w:sz w:val="22"/>
          <w:szCs w:val="22"/>
        </w:rPr>
      </w:pPr>
    </w:p>
    <w:p w:rsidR="00120EAB" w:rsidP="0020385E" w:rsidRDefault="00120EAB" w14:paraId="0E4BE196" w14:textId="4B446B68">
      <w:pPr>
        <w:pStyle w:val="Default"/>
        <w:numPr>
          <w:ilvl w:val="0"/>
          <w:numId w:val="1"/>
        </w:numPr>
        <w:ind w:left="567" w:hanging="567"/>
        <w:rPr>
          <w:sz w:val="22"/>
          <w:szCs w:val="22"/>
        </w:rPr>
      </w:pPr>
      <w:r>
        <w:rPr>
          <w:sz w:val="22"/>
          <w:szCs w:val="22"/>
        </w:rPr>
        <w:t>Discuss how the prescriptio</w:t>
      </w:r>
      <w:r w:rsidR="0020385E">
        <w:rPr>
          <w:sz w:val="22"/>
          <w:szCs w:val="22"/>
        </w:rPr>
        <w:t xml:space="preserve">n of exercise can promote soft </w:t>
      </w:r>
      <w:r>
        <w:rPr>
          <w:sz w:val="22"/>
          <w:szCs w:val="22"/>
        </w:rPr>
        <w:t xml:space="preserve">tissue repair. Explain how this concept applies to different types of tissue, and make use of supporting evidence (35 marks). </w:t>
      </w:r>
    </w:p>
    <w:p w:rsidR="00120EAB" w:rsidP="0020385E" w:rsidRDefault="00120EAB" w14:paraId="0E4BE197" w14:textId="77777777">
      <w:pPr>
        <w:pStyle w:val="Default"/>
        <w:ind w:left="567" w:hanging="567"/>
        <w:rPr>
          <w:sz w:val="22"/>
          <w:szCs w:val="22"/>
        </w:rPr>
      </w:pPr>
    </w:p>
    <w:p w:rsidR="00120EAB" w:rsidP="0020385E" w:rsidRDefault="00120EAB" w14:paraId="0E4BE198" w14:textId="4F750C56">
      <w:pPr>
        <w:pStyle w:val="Default"/>
        <w:numPr>
          <w:ilvl w:val="0"/>
          <w:numId w:val="1"/>
        </w:numPr>
        <w:ind w:left="567" w:hanging="567"/>
        <w:rPr>
          <w:sz w:val="22"/>
          <w:szCs w:val="22"/>
        </w:rPr>
      </w:pPr>
      <w:r>
        <w:rPr>
          <w:sz w:val="22"/>
          <w:szCs w:val="22"/>
        </w:rPr>
        <w:t>Explain the physiological processes that occur with muscle damage (15</w:t>
      </w:r>
      <w:r w:rsidR="0020385E">
        <w:rPr>
          <w:sz w:val="22"/>
          <w:szCs w:val="22"/>
        </w:rPr>
        <w:t xml:space="preserve"> marks</w:t>
      </w:r>
      <w:r>
        <w:rPr>
          <w:sz w:val="22"/>
          <w:szCs w:val="22"/>
        </w:rPr>
        <w:t>)</w:t>
      </w:r>
      <w:r w:rsidR="0020385E">
        <w:rPr>
          <w:sz w:val="22"/>
          <w:szCs w:val="22"/>
        </w:rPr>
        <w:t xml:space="preserve">. </w:t>
      </w:r>
      <w:r>
        <w:rPr>
          <w:sz w:val="22"/>
          <w:szCs w:val="22"/>
        </w:rPr>
        <w:t xml:space="preserve"> Detail the subsequent specialised process of muscle regeneration, using supporting evidence (20</w:t>
      </w:r>
      <w:r w:rsidR="0020385E">
        <w:rPr>
          <w:sz w:val="22"/>
          <w:szCs w:val="22"/>
        </w:rPr>
        <w:t xml:space="preserve"> marks</w:t>
      </w:r>
      <w:r>
        <w:rPr>
          <w:sz w:val="22"/>
          <w:szCs w:val="22"/>
        </w:rPr>
        <w:t>)</w:t>
      </w:r>
      <w:r w:rsidR="0020385E">
        <w:rPr>
          <w:sz w:val="22"/>
          <w:szCs w:val="22"/>
        </w:rPr>
        <w:t>.</w:t>
      </w:r>
      <w:r>
        <w:rPr>
          <w:sz w:val="22"/>
          <w:szCs w:val="22"/>
        </w:rPr>
        <w:t xml:space="preserve"> </w:t>
      </w:r>
    </w:p>
    <w:p w:rsidR="0020385E" w:rsidP="0020385E" w:rsidRDefault="0020385E" w14:paraId="064C4E34" w14:textId="0801C577">
      <w:pPr>
        <w:pStyle w:val="Default"/>
        <w:ind w:left="720"/>
        <w:rPr>
          <w:sz w:val="22"/>
          <w:szCs w:val="22"/>
        </w:rPr>
      </w:pPr>
    </w:p>
    <w:p w:rsidRPr="0020385E" w:rsidR="0020385E" w:rsidP="0020385E" w:rsidRDefault="0020385E" w14:paraId="47011D74" w14:textId="1E6719D9">
      <w:pPr>
        <w:pStyle w:val="Default"/>
        <w:jc w:val="center"/>
        <w:rPr>
          <w:sz w:val="22"/>
          <w:szCs w:val="22"/>
          <w:u w:val="single"/>
        </w:rPr>
      </w:pPr>
      <w:r w:rsidRPr="0020385E">
        <w:rPr>
          <w:sz w:val="22"/>
          <w:szCs w:val="22"/>
          <w:u w:val="single"/>
        </w:rPr>
        <w:t xml:space="preserve">Section B – Answer </w:t>
      </w:r>
      <w:r w:rsidRPr="0020385E">
        <w:rPr>
          <w:b/>
          <w:sz w:val="22"/>
          <w:szCs w:val="22"/>
          <w:u w:val="single"/>
        </w:rPr>
        <w:t>ALL THREE</w:t>
      </w:r>
      <w:r w:rsidRPr="0020385E">
        <w:rPr>
          <w:sz w:val="22"/>
          <w:szCs w:val="22"/>
          <w:u w:val="single"/>
        </w:rPr>
        <w:t xml:space="preserve"> questions</w:t>
      </w:r>
      <w:r>
        <w:rPr>
          <w:sz w:val="22"/>
          <w:szCs w:val="22"/>
          <w:u w:val="single"/>
        </w:rPr>
        <w:t>.</w:t>
      </w:r>
    </w:p>
    <w:p w:rsidR="0020385E" w:rsidP="0020385E" w:rsidRDefault="0020385E" w14:paraId="487E4E94" w14:textId="77777777">
      <w:pPr>
        <w:pStyle w:val="Default"/>
        <w:ind w:left="720"/>
        <w:rPr>
          <w:sz w:val="22"/>
          <w:szCs w:val="22"/>
        </w:rPr>
      </w:pPr>
    </w:p>
    <w:p w:rsidR="0020385E" w:rsidP="0020385E" w:rsidRDefault="0020385E" w14:paraId="3F5709A3" w14:textId="5BF02ACF">
      <w:pPr>
        <w:pStyle w:val="Default"/>
        <w:numPr>
          <w:ilvl w:val="0"/>
          <w:numId w:val="1"/>
        </w:numPr>
        <w:ind w:left="567" w:hanging="567"/>
        <w:rPr>
          <w:color w:val="auto"/>
          <w:sz w:val="22"/>
          <w:szCs w:val="22"/>
        </w:rPr>
      </w:pPr>
      <w:r>
        <w:rPr>
          <w:color w:val="auto"/>
          <w:sz w:val="22"/>
          <w:szCs w:val="22"/>
        </w:rPr>
        <w:t xml:space="preserve">Lower limb: </w:t>
      </w:r>
    </w:p>
    <w:p w:rsidR="0020385E" w:rsidP="0020385E" w:rsidRDefault="0020385E" w14:paraId="0C959C18" w14:textId="77777777">
      <w:pPr>
        <w:pStyle w:val="Default"/>
        <w:ind w:left="720"/>
        <w:rPr>
          <w:color w:val="auto"/>
          <w:sz w:val="22"/>
          <w:szCs w:val="22"/>
        </w:rPr>
      </w:pPr>
    </w:p>
    <w:p w:rsidR="0020385E" w:rsidP="0020385E" w:rsidRDefault="0020385E" w14:paraId="09198DC8" w14:textId="0D91FC72">
      <w:pPr>
        <w:pStyle w:val="Default"/>
        <w:ind w:left="567"/>
        <w:rPr>
          <w:color w:val="auto"/>
          <w:sz w:val="22"/>
          <w:szCs w:val="22"/>
        </w:rPr>
      </w:pPr>
      <w:r>
        <w:rPr>
          <w:color w:val="auto"/>
          <w:sz w:val="22"/>
          <w:szCs w:val="22"/>
        </w:rPr>
        <w:t xml:space="preserve">The knee joint is a modified hinge joint.  Describe the functional anatomy of the knee joint complex and explain the locking mechanism of the knee (10 marks). </w:t>
      </w:r>
    </w:p>
    <w:p w:rsidR="0020385E" w:rsidP="0020385E" w:rsidRDefault="0020385E" w14:paraId="3460E3C9" w14:textId="77777777">
      <w:pPr>
        <w:pStyle w:val="Default"/>
        <w:rPr>
          <w:color w:val="auto"/>
          <w:sz w:val="22"/>
          <w:szCs w:val="22"/>
        </w:rPr>
      </w:pPr>
    </w:p>
    <w:p w:rsidR="0020385E" w:rsidP="0020385E" w:rsidRDefault="0020385E" w14:paraId="040F5D5B" w14:textId="27A73499">
      <w:pPr>
        <w:pStyle w:val="Default"/>
        <w:numPr>
          <w:ilvl w:val="0"/>
          <w:numId w:val="1"/>
        </w:numPr>
        <w:ind w:left="567" w:hanging="567"/>
        <w:rPr>
          <w:color w:val="auto"/>
          <w:sz w:val="22"/>
          <w:szCs w:val="22"/>
        </w:rPr>
      </w:pPr>
      <w:r>
        <w:rPr>
          <w:color w:val="auto"/>
          <w:sz w:val="22"/>
          <w:szCs w:val="22"/>
        </w:rPr>
        <w:t xml:space="preserve">Upper limb: </w:t>
      </w:r>
    </w:p>
    <w:p w:rsidR="0020385E" w:rsidP="0020385E" w:rsidRDefault="0020385E" w14:paraId="1E4AA191" w14:textId="77777777">
      <w:pPr>
        <w:pStyle w:val="Default"/>
        <w:ind w:left="720"/>
        <w:rPr>
          <w:color w:val="auto"/>
          <w:sz w:val="22"/>
          <w:szCs w:val="22"/>
        </w:rPr>
      </w:pPr>
    </w:p>
    <w:p w:rsidR="0020385E" w:rsidP="0020385E" w:rsidRDefault="0020385E" w14:paraId="5C7D1C89" w14:textId="7DB34687">
      <w:pPr>
        <w:pStyle w:val="Default"/>
        <w:ind w:left="567"/>
        <w:rPr>
          <w:color w:val="auto"/>
          <w:sz w:val="22"/>
          <w:szCs w:val="22"/>
        </w:rPr>
      </w:pPr>
      <w:r>
        <w:rPr>
          <w:color w:val="auto"/>
          <w:sz w:val="22"/>
          <w:szCs w:val="22"/>
        </w:rPr>
        <w:t xml:space="preserve">Analyse the structure and function of the rotator cuff muscle group (10 marks). </w:t>
      </w:r>
    </w:p>
    <w:p w:rsidR="0020385E" w:rsidP="0020385E" w:rsidRDefault="0020385E" w14:paraId="46BCA19D" w14:textId="77777777">
      <w:pPr>
        <w:pStyle w:val="Default"/>
        <w:rPr>
          <w:color w:val="auto"/>
          <w:sz w:val="22"/>
          <w:szCs w:val="22"/>
        </w:rPr>
      </w:pPr>
    </w:p>
    <w:p w:rsidR="0020385E" w:rsidP="0020385E" w:rsidRDefault="0020385E" w14:paraId="4D90E8D0" w14:textId="3E4C75B8">
      <w:pPr>
        <w:pStyle w:val="Default"/>
        <w:numPr>
          <w:ilvl w:val="0"/>
          <w:numId w:val="1"/>
        </w:numPr>
        <w:ind w:left="567" w:hanging="567"/>
        <w:rPr>
          <w:color w:val="auto"/>
          <w:sz w:val="22"/>
          <w:szCs w:val="22"/>
        </w:rPr>
      </w:pPr>
      <w:r>
        <w:rPr>
          <w:color w:val="auto"/>
          <w:sz w:val="22"/>
          <w:szCs w:val="22"/>
        </w:rPr>
        <w:t>Trunk:</w:t>
      </w:r>
    </w:p>
    <w:p w:rsidR="0020385E" w:rsidP="0020385E" w:rsidRDefault="0020385E" w14:paraId="2D4351A6" w14:textId="77777777">
      <w:pPr>
        <w:pStyle w:val="Default"/>
        <w:ind w:left="720"/>
        <w:rPr>
          <w:color w:val="auto"/>
          <w:sz w:val="22"/>
          <w:szCs w:val="22"/>
        </w:rPr>
      </w:pPr>
    </w:p>
    <w:p w:rsidR="0020385E" w:rsidP="0020385E" w:rsidRDefault="0020385E" w14:paraId="4B40592A" w14:textId="0E5F2DCC">
      <w:pPr>
        <w:pStyle w:val="Default"/>
        <w:ind w:left="567"/>
        <w:rPr>
          <w:color w:val="auto"/>
          <w:sz w:val="22"/>
          <w:szCs w:val="22"/>
        </w:rPr>
      </w:pPr>
      <w:r>
        <w:rPr>
          <w:color w:val="auto"/>
          <w:sz w:val="22"/>
          <w:szCs w:val="22"/>
        </w:rPr>
        <w:t xml:space="preserve">Describe how the orientation of the facet joints in the lumbar spine differ from the cervical spine.  Analyse the possible reasons for this orientation including the effect on movement within the lumbar spine (10 marks). </w:t>
      </w:r>
    </w:p>
    <w:p w:rsidR="0020385E" w:rsidP="0020385E" w:rsidRDefault="0020385E" w14:paraId="4D21F985" w14:textId="6EDF8273">
      <w:pPr>
        <w:pStyle w:val="Default"/>
        <w:ind w:left="720"/>
        <w:rPr>
          <w:sz w:val="22"/>
          <w:szCs w:val="22"/>
        </w:rPr>
      </w:pPr>
    </w:p>
    <w:p w:rsidRPr="0020385E" w:rsidR="0020385E" w:rsidP="0020385E" w:rsidRDefault="0020385E" w14:paraId="0F9C7156" w14:textId="319C92C6">
      <w:pPr>
        <w:pStyle w:val="Default"/>
        <w:jc w:val="center"/>
        <w:rPr>
          <w:b/>
          <w:sz w:val="22"/>
          <w:szCs w:val="22"/>
        </w:rPr>
      </w:pPr>
      <w:r w:rsidRPr="0020385E">
        <w:rPr>
          <w:b/>
          <w:sz w:val="22"/>
          <w:szCs w:val="22"/>
        </w:rPr>
        <w:t>END OF EXAMINATION</w:t>
      </w:r>
    </w:p>
    <w:sectPr w:rsidRPr="0020385E" w:rsidR="0020385E" w:rsidSect="00B546A7">
      <w:pgSz w:w="11906" w:h="16838"/>
      <w:pgMar w:top="2319" w:right="1797" w:bottom="1412"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924AE9"/>
    <w:multiLevelType w:val="hybridMultilevel"/>
    <w:tmpl w:val="BC603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EAB"/>
    <w:rsid w:val="00120EAB"/>
    <w:rsid w:val="001B47C1"/>
    <w:rsid w:val="0020385E"/>
    <w:rsid w:val="006148A9"/>
    <w:rsid w:val="00B546A7"/>
    <w:rsid w:val="00BC00E0"/>
    <w:rsid w:val="00D64A3E"/>
    <w:rsid w:val="00FA1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E184"/>
  <w15:docId w15:val="{6A249AB0-1B87-4050-80AE-E89C09BC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0EAB"/>
    <w:pPr>
      <w:autoSpaceDE w:val="0"/>
      <w:autoSpaceDN w:val="0"/>
      <w:adjustRightInd w:val="0"/>
      <w:spacing w:after="0" w:line="240" w:lineRule="auto"/>
    </w:pPr>
    <w:rPr>
      <w:rFonts w:ascii="Helvetica" w:hAnsi="Helvetica" w:cs="Helvetica"/>
      <w:color w:val="000000"/>
      <w:sz w:val="24"/>
      <w:szCs w:val="24"/>
    </w:rPr>
  </w:style>
  <w:style w:type="paragraph" w:styleId="BalloonText">
    <w:name w:val="Balloon Text"/>
    <w:basedOn w:val="Normal"/>
    <w:link w:val="BalloonTextChar"/>
    <w:uiPriority w:val="99"/>
    <w:semiHidden/>
    <w:unhideWhenUsed/>
    <w:rsid w:val="00B54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6A7"/>
    <w:rPr>
      <w:rFonts w:ascii="Segoe UI" w:hAnsi="Segoe UI" w:cs="Segoe UI"/>
      <w:sz w:val="18"/>
      <w:szCs w:val="18"/>
    </w:rPr>
  </w:style>
  <w:style w:type="paragraph" w:styleId="ListParagraph">
    <w:name w:val="List Paragraph"/>
    <w:basedOn w:val="Normal"/>
    <w:uiPriority w:val="34"/>
    <w:qFormat/>
    <w:rsid w:val="00203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R63NPHTH4QFH-1291-799</_dlc_DocId>
    <_dlc_DocIdUrl xmlns="559e8a90-c5f0-4960-93bb-48a9a6be2d22">
      <Url>https://staffnet.stmarys.ac.uk/academic-services/Registry/exam-paper-submission/_layouts/15/DocIdRedir.aspx?ID=R63NPHTH4QFH-1291-799</Url>
      <Description>R63NPHTH4QFH-1291-799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6E77C-1F18-4BA1-A114-5085AE1EDDAB}">
  <ds:schemaRefs>
    <ds:schemaRef ds:uri="http://schemas.microsoft.com/sharepoint/events"/>
  </ds:schemaRefs>
</ds:datastoreItem>
</file>

<file path=customXml/itemProps2.xml><?xml version="1.0" encoding="utf-8"?>
<ds:datastoreItem xmlns:ds="http://schemas.openxmlformats.org/officeDocument/2006/customXml" ds:itemID="{7DF2FA86-C4FE-49FE-951E-62ED3A79F8B0}">
  <ds:schemaRefs>
    <ds:schemaRef ds:uri="http://schemas.microsoft.com/office/infopath/2007/PartnerControls"/>
    <ds:schemaRef ds:uri="http://schemas.openxmlformats.org/package/2006/metadata/core-properties"/>
    <ds:schemaRef ds:uri="http://purl.org/dc/terms/"/>
    <ds:schemaRef ds:uri="559e8a90-c5f0-4960-93bb-48a9a6be2d22"/>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3142F6E2-64E4-4C4D-BA93-670AF9E5CA8E}">
  <ds:schemaRefs>
    <ds:schemaRef ds:uri="http://schemas.microsoft.com/sharepoint/v3/contenttype/forms"/>
  </ds:schemaRefs>
</ds:datastoreItem>
</file>

<file path=customXml/itemProps4.xml><?xml version="1.0" encoding="utf-8"?>
<ds:datastoreItem xmlns:ds="http://schemas.openxmlformats.org/officeDocument/2006/customXml" ds:itemID="{3ED29D7A-109F-4A2C-A7E3-285B4C613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Huet</dc:creator>
  <cp:lastModifiedBy>Stephanie Dobbin</cp:lastModifiedBy>
  <cp:revision>5</cp:revision>
  <cp:lastPrinted>2019-02-20T11:47:00Z</cp:lastPrinted>
  <dcterms:created xsi:type="dcterms:W3CDTF">2018-10-29T15:59:00Z</dcterms:created>
  <dcterms:modified xsi:type="dcterms:W3CDTF">2021-04-15T11:07:38Z</dcterms:modified>
  <dc:title>SPR7013 Resit 1819</dc:title>
  <cp:keywords>
  </cp:keywords>
  <dc:subject>SPR7013</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41556210-fbef-4671-adf6-85db547bbf82</vt:lpwstr>
  </property>
</Properties>
</file>