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3B8E" w:rsidR="00013B8E" w:rsidP="00013B8E" w:rsidRDefault="0048053A" w14:paraId="69702592" w14:textId="55EDABEA">
      <w:pPr>
        <w:jc w:val="center"/>
        <w:rPr>
          <w:sz w:val="32"/>
          <w:szCs w:val="32"/>
        </w:rPr>
      </w:pPr>
      <w:r w:rsidRPr="00013B8E">
        <w:rPr>
          <w:sz w:val="32"/>
          <w:szCs w:val="32"/>
        </w:rPr>
        <w:t xml:space="preserve">Human Tissue </w:t>
      </w:r>
      <w:r w:rsidR="00EF5DA3">
        <w:rPr>
          <w:sz w:val="32"/>
          <w:szCs w:val="32"/>
        </w:rPr>
        <w:t>Research Activity</w:t>
      </w:r>
    </w:p>
    <w:p w:rsidR="00013B8E" w:rsidP="00013B8E" w:rsidRDefault="00013B8E" w14:paraId="66BB99F0" w14:textId="77777777">
      <w:pPr>
        <w:jc w:val="center"/>
      </w:pPr>
    </w:p>
    <w:p w:rsidR="0010767A" w:rsidP="00013B8E" w:rsidRDefault="00013B8E" w14:paraId="1FC2FABF" w14:textId="780EF7D3">
      <w:pPr>
        <w:jc w:val="center"/>
      </w:pPr>
      <w:r>
        <w:t>Checklist for reviewers during ethical application for research involving the storage of human tissue</w:t>
      </w:r>
    </w:p>
    <w:p w:rsidR="00013B8E" w:rsidP="00726EE4" w:rsidRDefault="00013B8E" w14:paraId="71466132" w14:textId="4078B37E"/>
    <w:p w:rsidR="00726EE4" w:rsidP="00726EE4" w:rsidRDefault="00726EE4" w14:paraId="718AB1D3" w14:textId="70D4EFAC"/>
    <w:p w:rsidR="00726EE4" w:rsidP="00726EE4" w:rsidRDefault="00726EE4" w14:paraId="33FB9BC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1"/>
      </w:tblGrid>
      <w:tr w:rsidR="00013B8E" w:rsidTr="00013B8E" w14:paraId="040B5672" w14:textId="77777777">
        <w:tc>
          <w:tcPr>
            <w:tcW w:w="6799" w:type="dxa"/>
          </w:tcPr>
          <w:p w:rsidRPr="00726EE4" w:rsidR="00726EE4" w:rsidP="00726EE4" w:rsidRDefault="00726EE4" w14:paraId="64C64FFD" w14:textId="4904D709">
            <w:pPr>
              <w:spacing w:line="360" w:lineRule="auto"/>
              <w:jc w:val="center"/>
            </w:pPr>
            <w:r>
              <w:rPr>
                <w:sz w:val="32"/>
                <w:szCs w:val="32"/>
              </w:rPr>
              <w:t>Checklist</w:t>
            </w:r>
            <w:r w:rsidRPr="00EF5DA3" w:rsidR="00013B8E">
              <w:rPr>
                <w:sz w:val="32"/>
                <w:szCs w:val="32"/>
              </w:rPr>
              <w:t xml:space="preserve"> criteria </w:t>
            </w:r>
            <w:r>
              <w:rPr>
                <w:sz w:val="32"/>
                <w:szCs w:val="32"/>
              </w:rPr>
              <w:t xml:space="preserve">for HTA activity </w:t>
            </w:r>
            <w:r w:rsidRPr="00726EE4">
              <w:t>(</w:t>
            </w:r>
            <w:r w:rsidRPr="00726EE4" w:rsidR="00013B8E">
              <w:t>check</w:t>
            </w:r>
            <w:r w:rsidRPr="00726EE4">
              <w:t>ed by reviewers)</w:t>
            </w:r>
          </w:p>
        </w:tc>
        <w:tc>
          <w:tcPr>
            <w:tcW w:w="2211" w:type="dxa"/>
          </w:tcPr>
          <w:p w:rsidRPr="00EF5DA3" w:rsidR="00013B8E" w:rsidP="00726EE4" w:rsidRDefault="00013B8E" w14:paraId="26F79B3E" w14:textId="05B7C0C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EF5DA3">
              <w:rPr>
                <w:sz w:val="32"/>
                <w:szCs w:val="32"/>
              </w:rPr>
              <w:t>Yes/No</w:t>
            </w:r>
          </w:p>
        </w:tc>
      </w:tr>
      <w:tr w:rsidR="002949D8" w:rsidTr="00013B8E" w14:paraId="48365E39" w14:textId="77777777">
        <w:tc>
          <w:tcPr>
            <w:tcW w:w="6799" w:type="dxa"/>
          </w:tcPr>
          <w:p w:rsidR="002949D8" w:rsidP="00EF5DA3" w:rsidRDefault="002949D8" w14:paraId="247C5B47" w14:textId="5C67F1AB">
            <w:r>
              <w:t>If section 12d is checked yes, then section 12l should only be checked yes if storing Human tissue (relevant material hereafter)</w:t>
            </w:r>
          </w:p>
        </w:tc>
        <w:tc>
          <w:tcPr>
            <w:tcW w:w="2211" w:type="dxa"/>
          </w:tcPr>
          <w:p w:rsidR="002949D8" w:rsidP="00013B8E" w:rsidRDefault="002949D8" w14:paraId="51C68703" w14:textId="77777777">
            <w:pPr>
              <w:jc w:val="center"/>
            </w:pPr>
          </w:p>
        </w:tc>
      </w:tr>
      <w:tr w:rsidR="00013B8E" w:rsidTr="00013B8E" w14:paraId="551D3626" w14:textId="77777777">
        <w:tc>
          <w:tcPr>
            <w:tcW w:w="6799" w:type="dxa"/>
          </w:tcPr>
          <w:p w:rsidR="00013B8E" w:rsidP="00EF5DA3" w:rsidRDefault="00013B8E" w14:paraId="41FFFA61" w14:textId="4648A3B0">
            <w:r>
              <w:t>Training certificates (MRC consent &amp; GDPR)</w:t>
            </w:r>
            <w:r w:rsidR="00EF5DA3">
              <w:t xml:space="preserve"> are included/checked and up-to-date (within </w:t>
            </w:r>
            <w:r w:rsidRPr="00354A5B" w:rsidR="00EF5DA3">
              <w:t>3-4</w:t>
            </w:r>
            <w:r w:rsidR="00EF5DA3">
              <w:t xml:space="preserve"> </w:t>
            </w:r>
            <w:proofErr w:type="spellStart"/>
            <w:r w:rsidR="00EF5DA3">
              <w:t>yrs</w:t>
            </w:r>
            <w:proofErr w:type="spellEnd"/>
            <w:r w:rsidR="00EF5DA3">
              <w:t xml:space="preserve"> old)</w:t>
            </w:r>
          </w:p>
        </w:tc>
        <w:tc>
          <w:tcPr>
            <w:tcW w:w="2211" w:type="dxa"/>
          </w:tcPr>
          <w:p w:rsidR="00013B8E" w:rsidP="00013B8E" w:rsidRDefault="00013B8E" w14:paraId="1435201A" w14:textId="77777777">
            <w:pPr>
              <w:jc w:val="center"/>
            </w:pPr>
          </w:p>
        </w:tc>
      </w:tr>
      <w:tr w:rsidR="00013B8E" w:rsidTr="00013B8E" w14:paraId="54B420B5" w14:textId="77777777">
        <w:tc>
          <w:tcPr>
            <w:tcW w:w="6799" w:type="dxa"/>
          </w:tcPr>
          <w:p w:rsidR="00013B8E" w:rsidP="00EF5DA3" w:rsidRDefault="00013B8E" w14:paraId="5CB32C31" w14:textId="5694172B">
            <w:r>
              <w:t xml:space="preserve">Participant information sheet has clear information for subjects regarding the taking, storage and disposal of </w:t>
            </w:r>
            <w:r w:rsidR="00EF5DA3">
              <w:t>relevant material</w:t>
            </w:r>
          </w:p>
        </w:tc>
        <w:tc>
          <w:tcPr>
            <w:tcW w:w="2211" w:type="dxa"/>
          </w:tcPr>
          <w:p w:rsidR="00013B8E" w:rsidP="00013B8E" w:rsidRDefault="00013B8E" w14:paraId="60B32C37" w14:textId="77777777">
            <w:pPr>
              <w:jc w:val="center"/>
            </w:pPr>
          </w:p>
        </w:tc>
      </w:tr>
      <w:tr w:rsidR="00013B8E" w:rsidTr="00013B8E" w14:paraId="12899195" w14:textId="77777777">
        <w:tc>
          <w:tcPr>
            <w:tcW w:w="6799" w:type="dxa"/>
          </w:tcPr>
          <w:p w:rsidR="00013B8E" w:rsidP="00EF5DA3" w:rsidRDefault="00EF5DA3" w14:paraId="1D579AB8" w14:textId="6F85DD82">
            <w:r>
              <w:t xml:space="preserve">Consent form contains clear information on taking, storage and disposal of relevant material </w:t>
            </w:r>
          </w:p>
        </w:tc>
        <w:tc>
          <w:tcPr>
            <w:tcW w:w="2211" w:type="dxa"/>
          </w:tcPr>
          <w:p w:rsidR="00013B8E" w:rsidP="00013B8E" w:rsidRDefault="00013B8E" w14:paraId="44D74BF3" w14:textId="77777777">
            <w:pPr>
              <w:jc w:val="center"/>
            </w:pPr>
          </w:p>
        </w:tc>
      </w:tr>
      <w:tr w:rsidR="00013B8E" w:rsidTr="00013B8E" w14:paraId="178EB253" w14:textId="77777777">
        <w:tc>
          <w:tcPr>
            <w:tcW w:w="6799" w:type="dxa"/>
          </w:tcPr>
          <w:p w:rsidR="00013B8E" w:rsidP="00EF5DA3" w:rsidRDefault="00EF5DA3" w14:paraId="42A2AE9C" w14:textId="37CECEE4">
            <w:r>
              <w:t xml:space="preserve">Risk assessment </w:t>
            </w:r>
            <w:r w:rsidR="00801B9D">
              <w:t>includes mitigating actions relating to withdrawal of consent, storage failures and disposal of relevant material upon completion of research</w:t>
            </w:r>
          </w:p>
        </w:tc>
        <w:tc>
          <w:tcPr>
            <w:tcW w:w="2211" w:type="dxa"/>
          </w:tcPr>
          <w:p w:rsidR="00013B8E" w:rsidP="00013B8E" w:rsidRDefault="00013B8E" w14:paraId="76117A53" w14:textId="77777777">
            <w:pPr>
              <w:jc w:val="center"/>
            </w:pPr>
          </w:p>
        </w:tc>
      </w:tr>
      <w:tr w:rsidR="00013B8E" w:rsidTr="00013B8E" w14:paraId="754A7DE0" w14:textId="77777777">
        <w:tc>
          <w:tcPr>
            <w:tcW w:w="6799" w:type="dxa"/>
          </w:tcPr>
          <w:p w:rsidR="00013B8E" w:rsidP="00EF5DA3" w:rsidRDefault="00801B9D" w14:paraId="585BCA7B" w14:textId="40FD0416">
            <w:r>
              <w:t>The lead researcher has read and understood the Human Tissue Usage Guidelines</w:t>
            </w:r>
          </w:p>
        </w:tc>
        <w:tc>
          <w:tcPr>
            <w:tcW w:w="2211" w:type="dxa"/>
          </w:tcPr>
          <w:p w:rsidR="00013B8E" w:rsidP="00013B8E" w:rsidRDefault="00013B8E" w14:paraId="5473B097" w14:textId="77777777">
            <w:pPr>
              <w:jc w:val="center"/>
            </w:pPr>
          </w:p>
        </w:tc>
      </w:tr>
      <w:tr w:rsidR="00013B8E" w:rsidTr="00013B8E" w14:paraId="590854BA" w14:textId="77777777">
        <w:tc>
          <w:tcPr>
            <w:tcW w:w="6799" w:type="dxa"/>
          </w:tcPr>
          <w:p w:rsidR="00013B8E" w:rsidP="00EF5DA3" w:rsidRDefault="00801B9D" w14:paraId="45CBDF3A" w14:textId="4A2B3740">
            <w:r>
              <w:t>The lead researcher understands</w:t>
            </w:r>
            <w:r w:rsidR="00635039">
              <w:t xml:space="preserve"> their legal obligations working under the Human Tissue Act (2004)</w:t>
            </w:r>
          </w:p>
        </w:tc>
        <w:tc>
          <w:tcPr>
            <w:tcW w:w="2211" w:type="dxa"/>
          </w:tcPr>
          <w:p w:rsidR="00013B8E" w:rsidP="00013B8E" w:rsidRDefault="00013B8E" w14:paraId="393FA0CB" w14:textId="77777777">
            <w:pPr>
              <w:jc w:val="center"/>
            </w:pPr>
          </w:p>
        </w:tc>
      </w:tr>
      <w:tr w:rsidR="00635039" w:rsidTr="00013B8E" w14:paraId="1E9AAB80" w14:textId="77777777">
        <w:tc>
          <w:tcPr>
            <w:tcW w:w="6799" w:type="dxa"/>
          </w:tcPr>
          <w:p w:rsidR="00635039" w:rsidP="00EF5DA3" w:rsidRDefault="00635039" w14:paraId="05A02988" w14:textId="4AF7D53C">
            <w:r>
              <w:t>Does the study involve collaboration with a 3</w:t>
            </w:r>
            <w:r w:rsidRPr="00635039">
              <w:rPr>
                <w:vertAlign w:val="superscript"/>
              </w:rPr>
              <w:t>rd</w:t>
            </w:r>
            <w:r>
              <w:t xml:space="preserve"> party</w:t>
            </w:r>
            <w:r w:rsidR="00FC760F">
              <w:t>, 3</w:t>
            </w:r>
            <w:r w:rsidRPr="00FC760F" w:rsidR="00FC760F">
              <w:rPr>
                <w:vertAlign w:val="superscript"/>
              </w:rPr>
              <w:t>rd</w:t>
            </w:r>
            <w:r w:rsidR="00FC760F">
              <w:t xml:space="preserve"> parties licence n</w:t>
            </w:r>
            <w:r w:rsidRPr="00FC760F" w:rsidR="00FC760F">
              <w:rPr>
                <w:vertAlign w:val="superscript"/>
              </w:rPr>
              <w:t>o</w:t>
            </w:r>
            <w:r w:rsidR="00FC760F">
              <w:t xml:space="preserve"> needed to support this.</w:t>
            </w:r>
          </w:p>
        </w:tc>
        <w:tc>
          <w:tcPr>
            <w:tcW w:w="2211" w:type="dxa"/>
          </w:tcPr>
          <w:p w:rsidR="00635039" w:rsidP="00013B8E" w:rsidRDefault="00635039" w14:paraId="6C65F5FC" w14:textId="77777777">
            <w:pPr>
              <w:jc w:val="center"/>
            </w:pPr>
          </w:p>
        </w:tc>
      </w:tr>
      <w:tr w:rsidR="00635039" w:rsidTr="00013B8E" w14:paraId="7B50C99A" w14:textId="77777777">
        <w:tc>
          <w:tcPr>
            <w:tcW w:w="6799" w:type="dxa"/>
          </w:tcPr>
          <w:p w:rsidR="00635039" w:rsidP="00EF5DA3" w:rsidRDefault="00635039" w14:paraId="28397047" w14:textId="21C5E238">
            <w:r>
              <w:t xml:space="preserve">Are relevant materials being transferred to another collaborator for analysis (if ‘yes’ </w:t>
            </w:r>
            <w:r w:rsidR="00726EE4">
              <w:t>provide a copy of the sample transfer sheet and destination details)</w:t>
            </w:r>
          </w:p>
        </w:tc>
        <w:tc>
          <w:tcPr>
            <w:tcW w:w="2211" w:type="dxa"/>
          </w:tcPr>
          <w:p w:rsidR="00635039" w:rsidP="00013B8E" w:rsidRDefault="00635039" w14:paraId="3E9528F3" w14:textId="77777777">
            <w:pPr>
              <w:jc w:val="center"/>
            </w:pPr>
          </w:p>
        </w:tc>
      </w:tr>
    </w:tbl>
    <w:p w:rsidR="00013B8E" w:rsidP="00013B8E" w:rsidRDefault="00013B8E" w14:paraId="3EC4320E" w14:textId="77777777">
      <w:pPr>
        <w:jc w:val="center"/>
      </w:pPr>
    </w:p>
    <w:p w:rsidR="00FC760F" w:rsidP="00013B8E" w:rsidRDefault="00FC760F" w14:paraId="6ED8A244" w14:textId="77777777">
      <w:pPr>
        <w:jc w:val="center"/>
      </w:pPr>
    </w:p>
    <w:p w:rsidR="00FC760F" w:rsidP="00FC760F" w:rsidRDefault="00FC760F" w14:paraId="36371D04" w14:textId="4ABA8AC9">
      <w:r>
        <w:t>Notes:</w:t>
      </w:r>
    </w:p>
    <w:p w:rsidR="00FC760F" w:rsidP="00FC760F" w:rsidRDefault="00FC760F" w14:paraId="374820B2" w14:textId="6BC93A58">
      <w:r>
        <w:t>The Human Tissue Act (and therefore licence) only applies to the storage (stored longer than 24 hrs) of relevant material*</w:t>
      </w:r>
      <w:r w:rsidR="00423F3F">
        <w:t xml:space="preserve"> used for research activity. Common relevant material used at St Mary’s University consists of whole blood, plasma, saliva, urine, and occasionally faeces. Serum is </w:t>
      </w:r>
      <w:r w:rsidR="00B66643">
        <w:t xml:space="preserve">generally </w:t>
      </w:r>
      <w:r w:rsidR="00423F3F">
        <w:t xml:space="preserve">not considered relevant material. </w:t>
      </w:r>
      <w:r w:rsidR="00B66643">
        <w:t xml:space="preserve">DNA, RNA and other extracted material from cells is </w:t>
      </w:r>
      <w:r w:rsidRPr="00B66643" w:rsidR="00B66643">
        <w:rPr>
          <w:u w:val="single"/>
        </w:rPr>
        <w:t>not</w:t>
      </w:r>
      <w:r w:rsidR="00B66643">
        <w:t xml:space="preserve"> relevant material (once extracted), however if relevant material is being stored for &gt; 24 hrs before extraction then this counts as relevant material.</w:t>
      </w:r>
    </w:p>
    <w:p w:rsidR="00567E38" w:rsidP="00FC760F" w:rsidRDefault="00567E38" w14:paraId="67311E84" w14:textId="77777777"/>
    <w:p w:rsidRPr="00567E38" w:rsidR="00567E38" w:rsidP="00FC760F" w:rsidRDefault="00567E38" w14:paraId="7990E925" w14:textId="6CFA8ECB">
      <w:pPr>
        <w:rPr>
          <w:color w:val="808080" w:themeColor="background1" w:themeShade="80"/>
        </w:rPr>
      </w:pPr>
      <w:r w:rsidRPr="00567E38">
        <w:rPr>
          <w:color w:val="808080" w:themeColor="background1" w:themeShade="80"/>
        </w:rPr>
        <w:t>Please see John Pattison or James Simms for further guidance if required.</w:t>
      </w:r>
    </w:p>
    <w:sectPr w:rsidRPr="00567E38" w:rsidR="00567E38" w:rsidSect="00063414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13D3" w14:textId="77777777" w:rsidR="00063414" w:rsidRDefault="00063414" w:rsidP="00FC760F">
      <w:r>
        <w:separator/>
      </w:r>
    </w:p>
  </w:endnote>
  <w:endnote w:type="continuationSeparator" w:id="0">
    <w:p w14:paraId="6B228C7C" w14:textId="77777777" w:rsidR="00063414" w:rsidRDefault="00063414" w:rsidP="00FC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525C" w14:textId="1020E83D" w:rsidR="00FC760F" w:rsidRPr="00423F3F" w:rsidRDefault="00423F3F" w:rsidP="00423F3F">
    <w:pPr>
      <w:pStyle w:val="Footer"/>
      <w:ind w:left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*</w:t>
    </w:r>
    <w:r w:rsidR="00FC760F" w:rsidRPr="00423F3F">
      <w:rPr>
        <w:rFonts w:ascii="Arial" w:hAnsi="Arial" w:cs="Arial"/>
        <w:sz w:val="16"/>
        <w:szCs w:val="16"/>
      </w:rPr>
      <w:t>Relevant material refers to any tissue/material that consists of or includes human cells (exceptions include gametes, embryos</w:t>
    </w:r>
    <w:r w:rsidRPr="00423F3F">
      <w:rPr>
        <w:rFonts w:ascii="Arial" w:hAnsi="Arial" w:cs="Arial"/>
        <w:sz w:val="16"/>
        <w:szCs w:val="16"/>
      </w:rPr>
      <w:t>, hair, and nails from a living person</w:t>
    </w:r>
    <w:r w:rsidRPr="00423F3F">
      <w:rPr>
        <w:rFonts w:ascii="Arial" w:hAnsi="Arial" w:cs="Arial"/>
        <w:sz w:val="18"/>
        <w:szCs w:val="18"/>
      </w:rPr>
      <w:t>)</w:t>
    </w:r>
    <w:r w:rsidR="00FC760F" w:rsidRPr="00423F3F">
      <w:rPr>
        <w:rFonts w:ascii="Arial" w:hAnsi="Arial" w:cs="Arial"/>
        <w:sz w:val="18"/>
        <w:szCs w:val="18"/>
      </w:rPr>
      <w:t xml:space="preserve">. </w:t>
    </w:r>
    <w:r w:rsidR="00FC760F" w:rsidRPr="00423F3F">
      <w:rPr>
        <w:rFonts w:ascii="Arial" w:hAnsi="Arial" w:cs="Arial"/>
        <w:color w:val="2B2B2B"/>
        <w:sz w:val="16"/>
        <w:szCs w:val="16"/>
      </w:rPr>
      <w:t>The fundamental concept of relevant material is that if a sample is known to contain even a single cell that has come from a human body, then the sample should be classified as relevant material.</w:t>
    </w:r>
    <w:r>
      <w:rPr>
        <w:rFonts w:ascii="Arial" w:hAnsi="Arial" w:cs="Arial"/>
        <w:color w:val="2B2B2B"/>
        <w:sz w:val="16"/>
        <w:szCs w:val="16"/>
      </w:rPr>
      <w:t xml:space="preserve"> As such, we</w:t>
    </w:r>
    <w:r w:rsidR="00B66643">
      <w:rPr>
        <w:rFonts w:ascii="Arial" w:hAnsi="Arial" w:cs="Arial"/>
        <w:color w:val="2B2B2B"/>
        <w:sz w:val="16"/>
        <w:szCs w:val="16"/>
      </w:rPr>
      <w:t xml:space="preserve"> [St Mary’s </w:t>
    </w:r>
    <w:proofErr w:type="gramStart"/>
    <w:r w:rsidR="00B66643">
      <w:rPr>
        <w:rFonts w:ascii="Arial" w:hAnsi="Arial" w:cs="Arial"/>
        <w:color w:val="2B2B2B"/>
        <w:sz w:val="16"/>
        <w:szCs w:val="16"/>
      </w:rPr>
      <w:t xml:space="preserve">University] </w:t>
    </w:r>
    <w:r>
      <w:rPr>
        <w:rFonts w:ascii="Arial" w:hAnsi="Arial" w:cs="Arial"/>
        <w:color w:val="2B2B2B"/>
        <w:sz w:val="16"/>
        <w:szCs w:val="16"/>
      </w:rPr>
      <w:t xml:space="preserve"> include</w:t>
    </w:r>
    <w:proofErr w:type="gramEnd"/>
    <w:r>
      <w:rPr>
        <w:rFonts w:ascii="Arial" w:hAnsi="Arial" w:cs="Arial"/>
        <w:color w:val="2B2B2B"/>
        <w:sz w:val="16"/>
        <w:szCs w:val="16"/>
      </w:rPr>
      <w:t xml:space="preserve"> plasma samples as relevant material.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8DAD" w14:textId="77777777" w:rsidR="00063414" w:rsidRDefault="00063414" w:rsidP="00FC760F">
      <w:r>
        <w:separator/>
      </w:r>
    </w:p>
  </w:footnote>
  <w:footnote w:type="continuationSeparator" w:id="0">
    <w:p w14:paraId="0A790003" w14:textId="77777777" w:rsidR="00063414" w:rsidRDefault="00063414" w:rsidP="00FC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7D33" w14:textId="2501A764" w:rsidR="000B17D2" w:rsidRDefault="000B17D2">
    <w:pPr>
      <w:pStyle w:val="Header"/>
    </w:pPr>
    <w:r>
      <w:t>V1 May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57BE"/>
    <w:multiLevelType w:val="hybridMultilevel"/>
    <w:tmpl w:val="75B6477E"/>
    <w:lvl w:ilvl="0" w:tplc="222A0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3A"/>
    <w:rsid w:val="00013B8E"/>
    <w:rsid w:val="00063414"/>
    <w:rsid w:val="000B17D2"/>
    <w:rsid w:val="0010767A"/>
    <w:rsid w:val="002949D8"/>
    <w:rsid w:val="00354A5B"/>
    <w:rsid w:val="00360244"/>
    <w:rsid w:val="00423F3F"/>
    <w:rsid w:val="0048053A"/>
    <w:rsid w:val="00567E38"/>
    <w:rsid w:val="00581DC8"/>
    <w:rsid w:val="00635039"/>
    <w:rsid w:val="00726EE4"/>
    <w:rsid w:val="007E2874"/>
    <w:rsid w:val="00801B9D"/>
    <w:rsid w:val="00884169"/>
    <w:rsid w:val="009271F4"/>
    <w:rsid w:val="00AC24BA"/>
    <w:rsid w:val="00B66643"/>
    <w:rsid w:val="00EF5DA3"/>
    <w:rsid w:val="00F1501E"/>
    <w:rsid w:val="00FC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54E3"/>
  <w15:chartTrackingRefBased/>
  <w15:docId w15:val="{1F525DF6-C229-344F-A305-8A53E3E3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0F"/>
  </w:style>
  <w:style w:type="paragraph" w:styleId="Footer">
    <w:name w:val="footer"/>
    <w:basedOn w:val="Normal"/>
    <w:link w:val="FooterChar"/>
    <w:uiPriority w:val="99"/>
    <w:unhideWhenUsed/>
    <w:rsid w:val="00FC7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0F"/>
  </w:style>
  <w:style w:type="character" w:styleId="CommentReference">
    <w:name w:val="annotation reference"/>
    <w:basedOn w:val="DefaultParagraphFont"/>
    <w:uiPriority w:val="99"/>
    <w:semiHidden/>
    <w:unhideWhenUsed/>
    <w:rsid w:val="00884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1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6d86e-d979-4ffb-9ebc-9a9f888c3d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6B5862DAE5B48B2A6259FBDC05B47" ma:contentTypeVersion="13" ma:contentTypeDescription="Create a new document." ma:contentTypeScope="" ma:versionID="f5e23b36f931ab75d448faee1443b56e">
  <xsd:schema xmlns:xsd="http://www.w3.org/2001/XMLSchema" xmlns:xs="http://www.w3.org/2001/XMLSchema" xmlns:p="http://schemas.microsoft.com/office/2006/metadata/properties" xmlns:ns3="1bb6d86e-d979-4ffb-9ebc-9a9f888c3d47" xmlns:ns4="e3ba14db-6b95-4cae-8fa6-1120ceb2ef22" targetNamespace="http://schemas.microsoft.com/office/2006/metadata/properties" ma:root="true" ma:fieldsID="a95f4dfffb69768c52360ccacd411a08" ns3:_="" ns4:_="">
    <xsd:import namespace="1bb6d86e-d979-4ffb-9ebc-9a9f888c3d47"/>
    <xsd:import namespace="e3ba14db-6b95-4cae-8fa6-1120ceb2ef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6d86e-d979-4ffb-9ebc-9a9f888c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a14db-6b95-4cae-8fa6-1120ceb2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CE5B0-09DB-4D08-927A-621C88DAF7EA}">
  <ds:schemaRefs>
    <ds:schemaRef ds:uri="http://schemas.openxmlformats.org/package/2006/metadata/core-properties"/>
    <ds:schemaRef ds:uri="1bb6d86e-d979-4ffb-9ebc-9a9f888c3d47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e3ba14db-6b95-4cae-8fa6-1120ceb2ef2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B3A64E-8319-4CB8-AF31-497CC0D62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A800F-A211-449C-AB6A-ACAF86853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6d86e-d979-4ffb-9ebc-9a9f888c3d47"/>
    <ds:schemaRef ds:uri="e3ba14db-6b95-4cae-8fa6-1120ceb2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Tissue Research Activity_Checklist v1</dc:title>
  <dc:subject>Human Tissue Research Activity Checklist Ethical Review Process Ethics</dc:subject>
  <dc:creator>John Pattison</dc:creator>
  <cp:keywords>
  </cp:keywords>
  <dc:description>
  </dc:description>
  <cp:lastModifiedBy>Nelly Canji</cp:lastModifiedBy>
  <cp:revision>2</cp:revision>
  <dcterms:created xsi:type="dcterms:W3CDTF">2024-05-14T09:33:00Z</dcterms:created>
  <dcterms:modified xsi:type="dcterms:W3CDTF">2024-05-14T09:35:55Z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0x0101000636B5862DAE5B48B2A6259FBDC05B47</vt:lpwstr>
  </property>
</Properties>
</file>