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bookmarkStart w:name="_GoBack" w:id="0"/>
      <w:bookmarkEnd w:id="0"/>
    </w:p>
    <w:p w:rsidR="00D02B93" w:rsidP="002D048A" w:rsidRDefault="00D02B93">
      <w:pPr>
        <w:spacing w:before="100" w:beforeAutospacing="1" w:after="100" w:afterAutospacing="1" w:line="240" w:lineRule="auto"/>
        <w:rPr>
          <w:rFonts w:ascii="Helvetica" w:hAnsi="Helvetica" w:eastAsia="Times New Roman" w:cs="Times New Roman"/>
          <w:b/>
          <w:sz w:val="72"/>
          <w:szCs w:val="72"/>
          <w:lang w:eastAsia="en-GB"/>
        </w:rPr>
      </w:pPr>
      <w:r w:rsidRPr="00834FF6">
        <w:rPr>
          <w:rFonts w:ascii="Arial" w:hAnsi="Arial" w:cs="Arial"/>
          <w:noProof/>
          <w:lang w:eastAsia="en-GB"/>
        </w:rPr>
        <w:drawing>
          <wp:inline distT="0" distB="0" distL="0" distR="0" wp14:anchorId="042F9E1C" wp14:editId="31D157B6">
            <wp:extent cx="3166390" cy="1590675"/>
            <wp:effectExtent l="0" t="0" r="0" b="0"/>
            <wp:docPr id="1" name="Picture 1" descr="Z:\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Marys-Logo-With-Crest-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7545" cy="1591255"/>
                    </a:xfrm>
                    <a:prstGeom prst="rect">
                      <a:avLst/>
                    </a:prstGeom>
                    <a:noFill/>
                    <a:ln>
                      <a:noFill/>
                    </a:ln>
                  </pic:spPr>
                </pic:pic>
              </a:graphicData>
            </a:graphic>
          </wp:inline>
        </w:drawing>
      </w: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r>
        <w:rPr>
          <w:rFonts w:ascii="Helvetica" w:hAnsi="Helvetica" w:eastAsia="Times New Roman" w:cs="Times New Roman"/>
          <w:b/>
          <w:sz w:val="72"/>
          <w:szCs w:val="72"/>
          <w:lang w:eastAsia="en-GB"/>
        </w:rPr>
        <w:t xml:space="preserve">Code of Practice for the </w:t>
      </w: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r w:rsidRPr="00D02B93">
        <w:rPr>
          <w:rFonts w:ascii="Helvetica" w:hAnsi="Helvetica" w:eastAsia="Times New Roman" w:cs="Times New Roman"/>
          <w:b/>
          <w:sz w:val="72"/>
          <w:szCs w:val="72"/>
          <w:lang w:eastAsia="en-GB"/>
        </w:rPr>
        <w:t xml:space="preserve">PhD Studentship Scheme </w:t>
      </w: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p>
    <w:p w:rsidR="00D02B93" w:rsidP="00D02B93" w:rsidRDefault="00D02B93">
      <w:pPr>
        <w:spacing w:before="100" w:beforeAutospacing="1" w:after="100" w:afterAutospacing="1" w:line="240" w:lineRule="auto"/>
        <w:jc w:val="center"/>
        <w:rPr>
          <w:rFonts w:ascii="Helvetica" w:hAnsi="Helvetica" w:eastAsia="Times New Roman" w:cs="Times New Roman"/>
          <w:b/>
          <w:sz w:val="72"/>
          <w:szCs w:val="72"/>
          <w:lang w:eastAsia="en-GB"/>
        </w:rPr>
      </w:pPr>
    </w:p>
    <w:p w:rsidRPr="00D02B93" w:rsidR="00D02B93" w:rsidP="00D02B93" w:rsidRDefault="00C40B6C">
      <w:pPr>
        <w:spacing w:before="100" w:beforeAutospacing="1" w:after="100" w:afterAutospacing="1" w:line="240" w:lineRule="auto"/>
        <w:jc w:val="right"/>
        <w:rPr>
          <w:rFonts w:ascii="Helvetica" w:hAnsi="Helvetica" w:eastAsia="Times New Roman" w:cs="Times New Roman"/>
          <w:b/>
          <w:sz w:val="40"/>
          <w:szCs w:val="40"/>
          <w:lang w:eastAsia="en-GB"/>
        </w:rPr>
      </w:pPr>
      <w:r>
        <w:rPr>
          <w:rFonts w:ascii="Helvetica" w:hAnsi="Helvetica" w:eastAsia="Times New Roman" w:cs="Times New Roman"/>
          <w:b/>
          <w:sz w:val="40"/>
          <w:szCs w:val="40"/>
          <w:lang w:eastAsia="en-GB"/>
        </w:rPr>
        <w:br/>
        <w:t>Research Services</w:t>
      </w:r>
    </w:p>
    <w:p w:rsidR="00AA1521" w:rsidRDefault="00AA1521">
      <w:pPr>
        <w:rPr>
          <w:rFonts w:ascii="Helvetica" w:hAnsi="Helvetica" w:eastAsia="Times New Roman" w:cs="Times New Roman"/>
          <w:b/>
          <w:lang w:eastAsia="en-GB"/>
        </w:rPr>
      </w:pPr>
    </w:p>
    <w:p w:rsidR="00AA1521" w:rsidRDefault="00AA1521">
      <w:pPr>
        <w:rPr>
          <w:rFonts w:ascii="Helvetica" w:hAnsi="Helvetica" w:eastAsia="Times New Roman" w:cs="Times New Roman"/>
          <w:b/>
          <w:lang w:eastAsia="en-GB"/>
        </w:rPr>
      </w:pPr>
    </w:p>
    <w:p w:rsidRPr="00AA1521" w:rsidR="00D02B93" w:rsidRDefault="00D02B93">
      <w:pPr>
        <w:rPr>
          <w:rFonts w:ascii="Helvetica" w:hAnsi="Helvetica" w:eastAsia="Times New Roman" w:cs="Times New Roman"/>
          <w:b/>
          <w:i/>
          <w:lang w:eastAsia="en-GB"/>
        </w:rPr>
      </w:pPr>
      <w:r w:rsidRPr="00AA1521">
        <w:rPr>
          <w:rFonts w:ascii="Helvetica" w:hAnsi="Helvetica" w:eastAsia="Times New Roman" w:cs="Times New Roman"/>
          <w:b/>
          <w:i/>
          <w:lang w:eastAsia="en-GB"/>
        </w:rPr>
        <w:br w:type="page"/>
      </w:r>
    </w:p>
    <w:p w:rsidR="00D02B93" w:rsidP="004B7CEC" w:rsidRDefault="00D02B93">
      <w:pPr>
        <w:spacing w:before="100" w:beforeAutospacing="1" w:after="100" w:afterAutospacing="1" w:line="240" w:lineRule="auto"/>
        <w:rPr>
          <w:rFonts w:ascii="Helvetica" w:hAnsi="Helvetica" w:eastAsia="Times New Roman" w:cs="Times New Roman"/>
          <w:b/>
          <w:lang w:eastAsia="en-GB"/>
        </w:rPr>
      </w:pPr>
    </w:p>
    <w:p w:rsidRPr="006146E1" w:rsidR="004B7CEC" w:rsidP="004B7CEC" w:rsidRDefault="004B7CEC">
      <w:pPr>
        <w:pStyle w:val="Default"/>
        <w:rPr>
          <w:rFonts w:ascii="Helvetica" w:hAnsi="Helvetica"/>
          <w:sz w:val="22"/>
          <w:szCs w:val="22"/>
        </w:rPr>
      </w:pPr>
      <w:r w:rsidRPr="006146E1">
        <w:rPr>
          <w:rFonts w:ascii="Helvetica" w:hAnsi="Helvetica"/>
          <w:b/>
          <w:bCs/>
          <w:sz w:val="22"/>
          <w:szCs w:val="22"/>
        </w:rPr>
        <w:t xml:space="preserve">Introduction </w:t>
      </w:r>
    </w:p>
    <w:p w:rsidR="004B7CEC" w:rsidP="004B7CEC" w:rsidRDefault="004B7CEC">
      <w:pPr>
        <w:pStyle w:val="Default"/>
        <w:rPr>
          <w:rFonts w:ascii="Helvetica" w:hAnsi="Helvetica"/>
          <w:sz w:val="22"/>
          <w:szCs w:val="22"/>
        </w:rPr>
      </w:pPr>
    </w:p>
    <w:p w:rsidR="004B7CEC" w:rsidP="004B7CEC" w:rsidRDefault="004B7CEC">
      <w:pPr>
        <w:pStyle w:val="Default"/>
        <w:rPr>
          <w:rFonts w:ascii="Helvetica" w:hAnsi="Helvetica"/>
          <w:sz w:val="22"/>
          <w:szCs w:val="22"/>
        </w:rPr>
      </w:pPr>
      <w:r w:rsidRPr="006146E1">
        <w:rPr>
          <w:rFonts w:ascii="Helvetica" w:hAnsi="Helvetica"/>
          <w:sz w:val="22"/>
          <w:szCs w:val="22"/>
        </w:rPr>
        <w:t xml:space="preserve">The </w:t>
      </w:r>
      <w:r>
        <w:rPr>
          <w:rFonts w:ascii="Helvetica" w:hAnsi="Helvetica"/>
          <w:sz w:val="22"/>
          <w:szCs w:val="22"/>
        </w:rPr>
        <w:t xml:space="preserve">PhD Studentship Scheme </w:t>
      </w:r>
      <w:r w:rsidRPr="006146E1">
        <w:rPr>
          <w:rFonts w:ascii="Helvetica" w:hAnsi="Helvetica"/>
          <w:sz w:val="22"/>
          <w:szCs w:val="22"/>
        </w:rPr>
        <w:t xml:space="preserve">is intended </w:t>
      </w:r>
      <w:r>
        <w:rPr>
          <w:rFonts w:ascii="Helvetica" w:hAnsi="Helvetica"/>
          <w:sz w:val="22"/>
          <w:szCs w:val="22"/>
        </w:rPr>
        <w:t xml:space="preserve">to </w:t>
      </w:r>
      <w:r w:rsidRPr="006146E1">
        <w:rPr>
          <w:rFonts w:ascii="Helvetica" w:hAnsi="Helvetica"/>
          <w:sz w:val="22"/>
          <w:szCs w:val="22"/>
        </w:rPr>
        <w:t xml:space="preserve">enrich the University’s </w:t>
      </w:r>
      <w:r w:rsidR="00C40B6C">
        <w:rPr>
          <w:rFonts w:ascii="Helvetica" w:hAnsi="Helvetica"/>
          <w:sz w:val="22"/>
          <w:szCs w:val="22"/>
        </w:rPr>
        <w:t>growing</w:t>
      </w:r>
      <w:r w:rsidRPr="006146E1">
        <w:rPr>
          <w:rFonts w:ascii="Helvetica" w:hAnsi="Helvetica"/>
          <w:sz w:val="22"/>
          <w:szCs w:val="22"/>
        </w:rPr>
        <w:t xml:space="preserve"> research culture by increasing our coh</w:t>
      </w:r>
      <w:r>
        <w:rPr>
          <w:rFonts w:ascii="Helvetica" w:hAnsi="Helvetica"/>
          <w:sz w:val="22"/>
          <w:szCs w:val="22"/>
        </w:rPr>
        <w:t>ort of postgraduate researchers as well as providing a career pathway into teaching and research for suitably able candidates.</w:t>
      </w:r>
    </w:p>
    <w:p w:rsidR="004B7CEC" w:rsidP="004B7CEC" w:rsidRDefault="004B7CEC">
      <w:pPr>
        <w:pStyle w:val="Default"/>
        <w:rPr>
          <w:rFonts w:ascii="Helvetica" w:hAnsi="Helvetica"/>
          <w:sz w:val="22"/>
          <w:szCs w:val="22"/>
        </w:rPr>
      </w:pPr>
      <w:r w:rsidRPr="006146E1">
        <w:rPr>
          <w:rFonts w:ascii="Helvetica" w:hAnsi="Helvetica"/>
          <w:sz w:val="22"/>
          <w:szCs w:val="22"/>
        </w:rPr>
        <w:t xml:space="preserve"> </w:t>
      </w:r>
    </w:p>
    <w:p w:rsidR="004B7CEC" w:rsidP="004B7CEC" w:rsidRDefault="004B7CEC">
      <w:pPr>
        <w:pStyle w:val="Default"/>
        <w:rPr>
          <w:rFonts w:ascii="Helvetica" w:hAnsi="Helvetica"/>
          <w:sz w:val="22"/>
          <w:szCs w:val="22"/>
        </w:rPr>
      </w:pPr>
      <w:r w:rsidRPr="006146E1">
        <w:rPr>
          <w:rFonts w:ascii="Helvetica" w:hAnsi="Helvetica"/>
          <w:sz w:val="22"/>
          <w:szCs w:val="22"/>
        </w:rPr>
        <w:t xml:space="preserve">Students </w:t>
      </w:r>
      <w:r>
        <w:rPr>
          <w:rFonts w:ascii="Helvetica" w:hAnsi="Helvetica"/>
          <w:sz w:val="22"/>
          <w:szCs w:val="22"/>
        </w:rPr>
        <w:t xml:space="preserve">on the Studentship Scheme </w:t>
      </w:r>
      <w:r w:rsidRPr="006146E1">
        <w:rPr>
          <w:rFonts w:ascii="Helvetica" w:hAnsi="Helvetica"/>
          <w:sz w:val="22"/>
          <w:szCs w:val="22"/>
        </w:rPr>
        <w:t>are</w:t>
      </w:r>
      <w:r>
        <w:rPr>
          <w:rFonts w:ascii="Helvetica" w:hAnsi="Helvetica"/>
          <w:sz w:val="22"/>
          <w:szCs w:val="22"/>
        </w:rPr>
        <w:t xml:space="preserve"> </w:t>
      </w:r>
      <w:r w:rsidRPr="006146E1">
        <w:rPr>
          <w:rFonts w:ascii="Helvetica" w:hAnsi="Helvetica"/>
          <w:sz w:val="22"/>
          <w:szCs w:val="22"/>
        </w:rPr>
        <w:t xml:space="preserve">registered for a higher degree and in receipt of </w:t>
      </w:r>
      <w:r>
        <w:rPr>
          <w:rFonts w:ascii="Helvetica" w:hAnsi="Helvetica"/>
          <w:sz w:val="22"/>
          <w:szCs w:val="22"/>
        </w:rPr>
        <w:t xml:space="preserve">tuition fee waiver and </w:t>
      </w:r>
      <w:r w:rsidRPr="006146E1">
        <w:rPr>
          <w:rFonts w:ascii="Helvetica" w:hAnsi="Helvetica"/>
          <w:sz w:val="22"/>
          <w:szCs w:val="22"/>
        </w:rPr>
        <w:t>a stipend</w:t>
      </w:r>
      <w:r>
        <w:rPr>
          <w:rFonts w:ascii="Helvetica" w:hAnsi="Helvetica"/>
          <w:sz w:val="22"/>
          <w:szCs w:val="22"/>
        </w:rPr>
        <w:t xml:space="preserve"> to cover cost of living expenses.</w:t>
      </w:r>
      <w:r w:rsidRPr="006146E1">
        <w:rPr>
          <w:rFonts w:ascii="Helvetica" w:hAnsi="Helvetica"/>
          <w:sz w:val="22"/>
          <w:szCs w:val="22"/>
        </w:rPr>
        <w:t xml:space="preserve"> </w:t>
      </w:r>
      <w:r>
        <w:rPr>
          <w:rFonts w:ascii="Helvetica" w:hAnsi="Helvetica"/>
          <w:sz w:val="22"/>
          <w:szCs w:val="22"/>
        </w:rPr>
        <w:t>PhD studentsh</w:t>
      </w:r>
      <w:r w:rsidRPr="006146E1">
        <w:rPr>
          <w:rFonts w:ascii="Helvetica" w:hAnsi="Helvetica"/>
          <w:sz w:val="22"/>
          <w:szCs w:val="22"/>
        </w:rPr>
        <w:t xml:space="preserve">ips are for a fixed-term period of </w:t>
      </w:r>
      <w:r w:rsidRPr="00001EFE">
        <w:rPr>
          <w:rFonts w:ascii="Helvetica" w:hAnsi="Helvetica"/>
          <w:b/>
          <w:sz w:val="22"/>
          <w:szCs w:val="22"/>
        </w:rPr>
        <w:t>3</w:t>
      </w:r>
      <w:r w:rsidRPr="006146E1">
        <w:rPr>
          <w:rFonts w:ascii="Helvetica" w:hAnsi="Helvetica"/>
          <w:b/>
          <w:bCs/>
          <w:sz w:val="22"/>
          <w:szCs w:val="22"/>
        </w:rPr>
        <w:t xml:space="preserve"> years </w:t>
      </w:r>
      <w:r w:rsidRPr="006146E1">
        <w:rPr>
          <w:rFonts w:ascii="Helvetica" w:hAnsi="Helvetica"/>
          <w:sz w:val="22"/>
          <w:szCs w:val="22"/>
        </w:rPr>
        <w:t xml:space="preserve">and combine research / study for a doctoral level </w:t>
      </w:r>
      <w:r>
        <w:rPr>
          <w:rFonts w:ascii="Helvetica" w:hAnsi="Helvetica"/>
          <w:sz w:val="22"/>
          <w:szCs w:val="22"/>
        </w:rPr>
        <w:t>with teaching-related duties</w:t>
      </w:r>
      <w:r w:rsidRPr="006146E1">
        <w:rPr>
          <w:rFonts w:ascii="Helvetica" w:hAnsi="Helvetica"/>
          <w:sz w:val="22"/>
          <w:szCs w:val="22"/>
        </w:rPr>
        <w:t xml:space="preserve">. </w:t>
      </w:r>
      <w:r w:rsidRPr="005553F3">
        <w:rPr>
          <w:rFonts w:ascii="Helvetica" w:hAnsi="Helvetica"/>
          <w:sz w:val="22"/>
          <w:szCs w:val="22"/>
        </w:rPr>
        <w:t xml:space="preserve">They will be required to undertake and complete formal </w:t>
      </w:r>
      <w:r w:rsidR="005553F3">
        <w:rPr>
          <w:rFonts w:ascii="Helvetica" w:hAnsi="Helvetica"/>
          <w:sz w:val="22"/>
          <w:szCs w:val="22"/>
        </w:rPr>
        <w:t>training before they are permitted to teach at St Mary’s. Details of the training will be sent to all PhD students prior to commencing their studies.</w:t>
      </w:r>
      <w:r w:rsidRPr="006146E1">
        <w:rPr>
          <w:rFonts w:ascii="Helvetica" w:hAnsi="Helvetica"/>
          <w:sz w:val="22"/>
          <w:szCs w:val="22"/>
        </w:rPr>
        <w:t xml:space="preserve"> </w:t>
      </w:r>
    </w:p>
    <w:p w:rsidR="004B7CEC" w:rsidP="004B7CEC" w:rsidRDefault="004B7CEC">
      <w:pPr>
        <w:pStyle w:val="Default"/>
        <w:rPr>
          <w:rFonts w:ascii="Helvetica" w:hAnsi="Helvetica"/>
          <w:b/>
          <w:bCs/>
          <w:sz w:val="22"/>
          <w:szCs w:val="22"/>
        </w:rPr>
      </w:pPr>
    </w:p>
    <w:p w:rsidR="004B7CEC" w:rsidP="004B7CEC" w:rsidRDefault="004B7CEC">
      <w:pPr>
        <w:pStyle w:val="Default"/>
        <w:rPr>
          <w:rFonts w:ascii="Helvetica" w:hAnsi="Helvetica"/>
          <w:b/>
          <w:bCs/>
          <w:sz w:val="22"/>
          <w:szCs w:val="22"/>
        </w:rPr>
      </w:pPr>
      <w:r w:rsidRPr="00001EFE">
        <w:rPr>
          <w:rFonts w:ascii="Helvetica" w:hAnsi="Helvetica"/>
          <w:b/>
          <w:bCs/>
          <w:sz w:val="22"/>
          <w:szCs w:val="22"/>
        </w:rPr>
        <w:t xml:space="preserve">Research Degree Programme </w:t>
      </w:r>
    </w:p>
    <w:p w:rsidRPr="00001EFE" w:rsidR="00A80C7E" w:rsidP="004B7CEC" w:rsidRDefault="00A80C7E">
      <w:pPr>
        <w:pStyle w:val="Default"/>
        <w:rPr>
          <w:rFonts w:ascii="Helvetica" w:hAnsi="Helvetica"/>
          <w:b/>
          <w:sz w:val="22"/>
          <w:szCs w:val="22"/>
        </w:rPr>
      </w:pPr>
    </w:p>
    <w:p w:rsidRPr="006146E1" w:rsidR="004B7CEC" w:rsidP="004B7CEC" w:rsidRDefault="004B7CEC">
      <w:pPr>
        <w:pStyle w:val="Default"/>
        <w:rPr>
          <w:rFonts w:ascii="Helvetica" w:hAnsi="Helvetica"/>
          <w:sz w:val="22"/>
          <w:szCs w:val="22"/>
        </w:rPr>
      </w:pPr>
      <w:r>
        <w:rPr>
          <w:rFonts w:ascii="Helvetica" w:hAnsi="Helvetica"/>
          <w:sz w:val="22"/>
          <w:szCs w:val="22"/>
        </w:rPr>
        <w:t>Students</w:t>
      </w:r>
      <w:r w:rsidRPr="006146E1">
        <w:rPr>
          <w:rFonts w:ascii="Helvetica" w:hAnsi="Helvetica"/>
          <w:sz w:val="22"/>
          <w:szCs w:val="22"/>
        </w:rPr>
        <w:t xml:space="preserve"> will be admitted to a doctoral programme and will be registered </w:t>
      </w:r>
      <w:r>
        <w:rPr>
          <w:rFonts w:ascii="Helvetica" w:hAnsi="Helvetica"/>
          <w:sz w:val="22"/>
          <w:szCs w:val="22"/>
        </w:rPr>
        <w:t>as a postgraduate research student</w:t>
      </w:r>
      <w:r w:rsidR="00536036">
        <w:rPr>
          <w:rFonts w:ascii="Helvetica" w:hAnsi="Helvetica"/>
          <w:sz w:val="22"/>
          <w:szCs w:val="22"/>
        </w:rPr>
        <w:t xml:space="preserve">. </w:t>
      </w:r>
      <w:r w:rsidRPr="006146E1">
        <w:rPr>
          <w:rFonts w:ascii="Helvetica" w:hAnsi="Helvetica"/>
          <w:sz w:val="22"/>
          <w:szCs w:val="22"/>
        </w:rPr>
        <w:t xml:space="preserve">It is a requirement over the </w:t>
      </w:r>
      <w:r>
        <w:rPr>
          <w:rFonts w:ascii="Helvetica" w:hAnsi="Helvetica"/>
          <w:sz w:val="22"/>
          <w:szCs w:val="22"/>
        </w:rPr>
        <w:t>three</w:t>
      </w:r>
      <w:r w:rsidRPr="006146E1">
        <w:rPr>
          <w:rFonts w:ascii="Helvetica" w:hAnsi="Helvetica"/>
          <w:sz w:val="22"/>
          <w:szCs w:val="22"/>
        </w:rPr>
        <w:t xml:space="preserve"> years of the scheme that the </w:t>
      </w:r>
      <w:r>
        <w:rPr>
          <w:rFonts w:ascii="Helvetica" w:hAnsi="Helvetica"/>
          <w:sz w:val="22"/>
          <w:szCs w:val="22"/>
        </w:rPr>
        <w:t>student</w:t>
      </w:r>
      <w:r w:rsidRPr="006146E1">
        <w:rPr>
          <w:rFonts w:ascii="Helvetica" w:hAnsi="Helvetica"/>
          <w:sz w:val="22"/>
          <w:szCs w:val="22"/>
        </w:rPr>
        <w:t xml:space="preserve"> makes sufficient progress from year to year with</w:t>
      </w:r>
      <w:r w:rsidR="005553F3">
        <w:rPr>
          <w:rFonts w:ascii="Helvetica" w:hAnsi="Helvetica"/>
          <w:sz w:val="22"/>
          <w:szCs w:val="22"/>
        </w:rPr>
        <w:t>in</w:t>
      </w:r>
      <w:r w:rsidRPr="006146E1">
        <w:rPr>
          <w:rFonts w:ascii="Helvetica" w:hAnsi="Helvetica"/>
          <w:sz w:val="22"/>
          <w:szCs w:val="22"/>
        </w:rPr>
        <w:t xml:space="preserve"> the PhD programme. </w:t>
      </w:r>
    </w:p>
    <w:p w:rsidR="004B7CEC" w:rsidP="004B7CEC" w:rsidRDefault="004B7CEC">
      <w:pPr>
        <w:pStyle w:val="Default"/>
        <w:rPr>
          <w:rFonts w:ascii="Helvetica" w:hAnsi="Helvetica"/>
          <w:sz w:val="22"/>
          <w:szCs w:val="22"/>
        </w:rPr>
      </w:pPr>
    </w:p>
    <w:p w:rsidR="004B7CEC" w:rsidP="004B7CEC" w:rsidRDefault="004B7CEC">
      <w:pPr>
        <w:pStyle w:val="Default"/>
        <w:rPr>
          <w:rFonts w:ascii="Helvetica" w:hAnsi="Helvetica"/>
          <w:b/>
          <w:bCs/>
          <w:sz w:val="22"/>
          <w:szCs w:val="22"/>
        </w:rPr>
      </w:pPr>
      <w:r w:rsidRPr="006146E1">
        <w:rPr>
          <w:rFonts w:ascii="Helvetica" w:hAnsi="Helvetica"/>
          <w:b/>
          <w:bCs/>
          <w:sz w:val="22"/>
          <w:szCs w:val="22"/>
        </w:rPr>
        <w:t xml:space="preserve">Stipend and Fees </w:t>
      </w:r>
    </w:p>
    <w:p w:rsidRPr="006146E1" w:rsidR="00A80C7E" w:rsidP="004B7CEC" w:rsidRDefault="00A80C7E">
      <w:pPr>
        <w:pStyle w:val="Default"/>
        <w:rPr>
          <w:rFonts w:ascii="Helvetica" w:hAnsi="Helvetica"/>
          <w:sz w:val="22"/>
          <w:szCs w:val="22"/>
        </w:rPr>
      </w:pPr>
    </w:p>
    <w:p w:rsidRPr="006146E1" w:rsidR="004B7CEC" w:rsidP="004B7CEC" w:rsidRDefault="004B7CEC">
      <w:pPr>
        <w:pStyle w:val="Default"/>
        <w:rPr>
          <w:rFonts w:ascii="Helvetica" w:hAnsi="Helvetica"/>
          <w:sz w:val="22"/>
          <w:szCs w:val="22"/>
        </w:rPr>
      </w:pPr>
      <w:r w:rsidRPr="006146E1">
        <w:rPr>
          <w:rFonts w:ascii="Helvetica" w:hAnsi="Helvetica"/>
          <w:sz w:val="22"/>
          <w:szCs w:val="22"/>
        </w:rPr>
        <w:t>Students</w:t>
      </w:r>
      <w:r>
        <w:rPr>
          <w:rFonts w:ascii="Helvetica" w:hAnsi="Helvetica"/>
          <w:sz w:val="22"/>
          <w:szCs w:val="22"/>
        </w:rPr>
        <w:t xml:space="preserve"> on the Studentship Scheme</w:t>
      </w:r>
      <w:r w:rsidRPr="006146E1">
        <w:rPr>
          <w:rFonts w:ascii="Helvetica" w:hAnsi="Helvetica"/>
          <w:sz w:val="22"/>
          <w:szCs w:val="22"/>
        </w:rPr>
        <w:t xml:space="preserve"> are paid an annual stipend which is exempt from UK Income Tax and National Insurance. Additionally, a tuition fee waiver is given. </w:t>
      </w:r>
    </w:p>
    <w:p w:rsidR="004B7CEC" w:rsidP="004B7CEC" w:rsidRDefault="004B7CEC">
      <w:pPr>
        <w:pStyle w:val="Default"/>
        <w:rPr>
          <w:rFonts w:ascii="Helvetica" w:hAnsi="Helvetica"/>
          <w:b/>
          <w:bCs/>
          <w:sz w:val="22"/>
          <w:szCs w:val="22"/>
        </w:rPr>
      </w:pPr>
    </w:p>
    <w:p w:rsidR="004B7CEC" w:rsidP="004B7CEC" w:rsidRDefault="004B7CEC">
      <w:pPr>
        <w:pStyle w:val="Default"/>
        <w:rPr>
          <w:rFonts w:ascii="Helvetica" w:hAnsi="Helvetica"/>
          <w:b/>
          <w:bCs/>
          <w:sz w:val="22"/>
          <w:szCs w:val="22"/>
        </w:rPr>
      </w:pPr>
      <w:r>
        <w:rPr>
          <w:rFonts w:ascii="Helvetica" w:hAnsi="Helvetica"/>
          <w:b/>
          <w:bCs/>
          <w:sz w:val="22"/>
          <w:szCs w:val="22"/>
        </w:rPr>
        <w:t>Teaching and Other Related Duties</w:t>
      </w:r>
    </w:p>
    <w:p w:rsidR="00A80C7E" w:rsidP="004B7CEC" w:rsidRDefault="00A80C7E">
      <w:pPr>
        <w:pStyle w:val="Default"/>
        <w:rPr>
          <w:rFonts w:ascii="Helvetica" w:hAnsi="Helvetica"/>
          <w:b/>
          <w:bCs/>
          <w:sz w:val="22"/>
          <w:szCs w:val="22"/>
        </w:rPr>
      </w:pPr>
    </w:p>
    <w:p w:rsidRPr="006146E1" w:rsidR="004B7CEC" w:rsidP="004B7CEC" w:rsidRDefault="004B7CEC">
      <w:pPr>
        <w:pStyle w:val="Default"/>
        <w:rPr>
          <w:rFonts w:ascii="Helvetica" w:hAnsi="Helvetica"/>
          <w:sz w:val="22"/>
          <w:szCs w:val="22"/>
        </w:rPr>
      </w:pPr>
      <w:r>
        <w:rPr>
          <w:rFonts w:ascii="Helvetica" w:hAnsi="Helvetica"/>
          <w:sz w:val="22"/>
          <w:szCs w:val="22"/>
        </w:rPr>
        <w:t>Studentship workloads will be monitored to ensure that they do not interfere with their primary focus of completing the postgraduate research degree. To this end, the University limits the load to not more than an average of 40 contact hours per semester and a maximum of 80 hours (to include preparation and/or marking) per semester. T</w:t>
      </w:r>
      <w:r w:rsidRPr="006146E1">
        <w:rPr>
          <w:rFonts w:ascii="Helvetica" w:hAnsi="Helvetica"/>
          <w:sz w:val="22"/>
          <w:szCs w:val="22"/>
        </w:rPr>
        <w:t xml:space="preserve">he duties will be agreed between the student and the appropriate </w:t>
      </w:r>
      <w:r>
        <w:rPr>
          <w:rFonts w:ascii="Helvetica" w:hAnsi="Helvetica"/>
          <w:sz w:val="22"/>
          <w:szCs w:val="22"/>
        </w:rPr>
        <w:t>U</w:t>
      </w:r>
      <w:r w:rsidRPr="006146E1">
        <w:rPr>
          <w:rFonts w:ascii="Helvetica" w:hAnsi="Helvetica"/>
          <w:sz w:val="22"/>
          <w:szCs w:val="22"/>
        </w:rPr>
        <w:t>niversity manager and will be subject to final agreement by the</w:t>
      </w:r>
      <w:r w:rsidR="00536036">
        <w:rPr>
          <w:rFonts w:ascii="Helvetica" w:hAnsi="Helvetica"/>
          <w:sz w:val="22"/>
          <w:szCs w:val="22"/>
        </w:rPr>
        <w:t xml:space="preserve"> </w:t>
      </w:r>
      <w:r w:rsidR="005553F3">
        <w:rPr>
          <w:rFonts w:ascii="Helvetica" w:hAnsi="Helvetica"/>
          <w:sz w:val="22"/>
          <w:szCs w:val="22"/>
        </w:rPr>
        <w:t>student’s</w:t>
      </w:r>
      <w:r>
        <w:rPr>
          <w:rFonts w:ascii="Helvetica" w:hAnsi="Helvetica"/>
          <w:sz w:val="22"/>
          <w:szCs w:val="22"/>
        </w:rPr>
        <w:t xml:space="preserve"> Director of Studies</w:t>
      </w:r>
      <w:r w:rsidRPr="006146E1">
        <w:rPr>
          <w:rFonts w:ascii="Helvetica" w:hAnsi="Helvetica"/>
          <w:sz w:val="22"/>
          <w:szCs w:val="22"/>
        </w:rPr>
        <w:t xml:space="preserve">. </w:t>
      </w:r>
    </w:p>
    <w:p w:rsidR="004B7CEC" w:rsidP="004B7CEC" w:rsidRDefault="004B7CEC">
      <w:pPr>
        <w:pStyle w:val="Default"/>
        <w:rPr>
          <w:rFonts w:ascii="Helvetica" w:hAnsi="Helvetica"/>
          <w:sz w:val="22"/>
          <w:szCs w:val="22"/>
        </w:rPr>
      </w:pPr>
    </w:p>
    <w:p w:rsidR="004B7CEC" w:rsidP="004B7CEC" w:rsidRDefault="004B7CEC">
      <w:pPr>
        <w:pStyle w:val="Default"/>
        <w:rPr>
          <w:rFonts w:ascii="Helvetica" w:hAnsi="Helvetica"/>
          <w:b/>
          <w:bCs/>
          <w:sz w:val="22"/>
          <w:szCs w:val="22"/>
        </w:rPr>
      </w:pPr>
      <w:r w:rsidRPr="006146E1">
        <w:rPr>
          <w:rFonts w:ascii="Helvetica" w:hAnsi="Helvetica"/>
          <w:b/>
          <w:bCs/>
          <w:sz w:val="22"/>
          <w:szCs w:val="22"/>
        </w:rPr>
        <w:t xml:space="preserve">Summary of Main Duties and Responsibilities </w:t>
      </w:r>
    </w:p>
    <w:p w:rsidRPr="006146E1" w:rsidR="004B7CEC" w:rsidP="004B7CEC" w:rsidRDefault="004B7CEC">
      <w:pPr>
        <w:pStyle w:val="Default"/>
        <w:rPr>
          <w:rFonts w:ascii="Helvetica" w:hAnsi="Helvetica"/>
          <w:sz w:val="22"/>
          <w:szCs w:val="22"/>
        </w:rPr>
      </w:pPr>
    </w:p>
    <w:p w:rsidRPr="000655AC" w:rsidR="004B7CEC" w:rsidP="00C4340F" w:rsidRDefault="004B7CEC">
      <w:pPr>
        <w:pStyle w:val="Default"/>
        <w:rPr>
          <w:rFonts w:ascii="Helvetica" w:hAnsi="Helvetica"/>
          <w:sz w:val="22"/>
          <w:szCs w:val="22"/>
        </w:rPr>
      </w:pPr>
      <w:r w:rsidRPr="000655AC">
        <w:rPr>
          <w:rFonts w:ascii="Helvetica" w:hAnsi="Helvetica"/>
          <w:sz w:val="22"/>
          <w:szCs w:val="22"/>
        </w:rPr>
        <w:t xml:space="preserve">1. </w:t>
      </w:r>
      <w:r w:rsidRPr="000655AC" w:rsidR="00C4340F">
        <w:rPr>
          <w:rFonts w:ascii="Helvetica" w:hAnsi="Helvetica"/>
          <w:sz w:val="22"/>
          <w:szCs w:val="22"/>
        </w:rPr>
        <w:t>Students on the Studentship Scheme will be involved in one or more of the following activities:</w:t>
      </w:r>
    </w:p>
    <w:p w:rsidRPr="000655AC" w:rsidR="00C4340F" w:rsidP="00C4340F" w:rsidRDefault="00C4340F">
      <w:pPr>
        <w:pStyle w:val="Default"/>
        <w:rPr>
          <w:rFonts w:ascii="Helvetica" w:hAnsi="Helvetica" w:cs="Arial"/>
          <w:sz w:val="22"/>
          <w:szCs w:val="22"/>
        </w:rPr>
      </w:pPr>
    </w:p>
    <w:p w:rsidRPr="005553F3" w:rsidR="00C4340F" w:rsidP="00C4340F" w:rsidRDefault="00C4340F">
      <w:pPr>
        <w:pStyle w:val="Default"/>
        <w:numPr>
          <w:ilvl w:val="0"/>
          <w:numId w:val="5"/>
        </w:numPr>
        <w:rPr>
          <w:rFonts w:ascii="Helvetica" w:hAnsi="Helvetica" w:cs="Arial"/>
          <w:sz w:val="22"/>
          <w:szCs w:val="22"/>
        </w:rPr>
      </w:pPr>
      <w:r w:rsidRPr="005553F3">
        <w:rPr>
          <w:rFonts w:ascii="Helvetica" w:hAnsi="Helvetica" w:cs="Arial"/>
          <w:sz w:val="22"/>
          <w:szCs w:val="22"/>
        </w:rPr>
        <w:t>Teaching, including seminars, tutorials</w:t>
      </w:r>
      <w:r w:rsidRPr="005553F3" w:rsidR="000655AC">
        <w:rPr>
          <w:rFonts w:ascii="Helvetica" w:hAnsi="Helvetica" w:cs="Arial"/>
          <w:sz w:val="22"/>
          <w:szCs w:val="22"/>
        </w:rPr>
        <w:t xml:space="preserve"> and</w:t>
      </w:r>
      <w:r w:rsidRPr="005553F3" w:rsidR="008E7DA9">
        <w:rPr>
          <w:rFonts w:ascii="Helvetica" w:hAnsi="Helvetica" w:cs="Arial"/>
          <w:sz w:val="22"/>
          <w:szCs w:val="22"/>
        </w:rPr>
        <w:t xml:space="preserve"> lectures</w:t>
      </w:r>
      <w:r w:rsidRPr="005553F3" w:rsidR="000655AC">
        <w:rPr>
          <w:rFonts w:ascii="Helvetica" w:hAnsi="Helvetica" w:cs="Arial"/>
          <w:sz w:val="22"/>
          <w:szCs w:val="22"/>
        </w:rPr>
        <w:t xml:space="preserve"> at Levels 4,5, 6 only</w:t>
      </w:r>
    </w:p>
    <w:p w:rsidRPr="000655AC" w:rsidR="00C4340F" w:rsidP="00C4340F" w:rsidRDefault="00C4340F">
      <w:pPr>
        <w:pStyle w:val="Default"/>
        <w:numPr>
          <w:ilvl w:val="0"/>
          <w:numId w:val="5"/>
        </w:numPr>
        <w:rPr>
          <w:rFonts w:ascii="Helvetica" w:hAnsi="Helvetica" w:cs="Arial"/>
          <w:sz w:val="22"/>
          <w:szCs w:val="22"/>
        </w:rPr>
      </w:pPr>
      <w:r w:rsidRPr="000655AC">
        <w:rPr>
          <w:rFonts w:ascii="Helvetica" w:hAnsi="Helvetica" w:cs="Arial"/>
          <w:sz w:val="22"/>
          <w:szCs w:val="22"/>
        </w:rPr>
        <w:t>Support</w:t>
      </w:r>
      <w:r w:rsidRPr="000655AC" w:rsidR="008E7DA9">
        <w:rPr>
          <w:rFonts w:ascii="Helvetica" w:hAnsi="Helvetica" w:cs="Arial"/>
          <w:sz w:val="22"/>
          <w:szCs w:val="22"/>
        </w:rPr>
        <w:t>ing</w:t>
      </w:r>
      <w:r w:rsidRPr="000655AC">
        <w:rPr>
          <w:rFonts w:ascii="Helvetica" w:hAnsi="Helvetica" w:cs="Arial"/>
          <w:sz w:val="22"/>
          <w:szCs w:val="22"/>
        </w:rPr>
        <w:t xml:space="preserve"> research projects</w:t>
      </w:r>
      <w:r w:rsidR="00C40B6C">
        <w:rPr>
          <w:rFonts w:ascii="Helvetica" w:hAnsi="Helvetica" w:cs="Arial"/>
          <w:sz w:val="22"/>
          <w:szCs w:val="22"/>
        </w:rPr>
        <w:t xml:space="preserve"> and research centres</w:t>
      </w:r>
    </w:p>
    <w:p w:rsidRPr="000655AC" w:rsidR="00C4340F" w:rsidP="00C4340F" w:rsidRDefault="00C4340F">
      <w:pPr>
        <w:pStyle w:val="Default"/>
        <w:numPr>
          <w:ilvl w:val="0"/>
          <w:numId w:val="5"/>
        </w:numPr>
        <w:rPr>
          <w:rFonts w:ascii="Helvetica" w:hAnsi="Helvetica" w:cs="Arial"/>
          <w:sz w:val="22"/>
          <w:szCs w:val="22"/>
        </w:rPr>
      </w:pPr>
      <w:r w:rsidRPr="000655AC">
        <w:rPr>
          <w:rFonts w:ascii="Helvetica" w:hAnsi="Helvetica" w:cs="Arial"/>
          <w:sz w:val="22"/>
          <w:szCs w:val="22"/>
        </w:rPr>
        <w:t>Developing materials for academic use</w:t>
      </w:r>
    </w:p>
    <w:p w:rsidRPr="000655AC" w:rsidR="00C4340F" w:rsidP="00C4340F" w:rsidRDefault="00C4340F">
      <w:pPr>
        <w:pStyle w:val="Default"/>
        <w:numPr>
          <w:ilvl w:val="0"/>
          <w:numId w:val="5"/>
        </w:numPr>
        <w:rPr>
          <w:rFonts w:ascii="Helvetica" w:hAnsi="Helvetica" w:cs="Arial"/>
          <w:sz w:val="22"/>
          <w:szCs w:val="22"/>
        </w:rPr>
      </w:pPr>
      <w:r w:rsidRPr="000655AC">
        <w:rPr>
          <w:rFonts w:ascii="Helvetica" w:hAnsi="Helvetica" w:cs="Arial"/>
          <w:sz w:val="22"/>
          <w:szCs w:val="22"/>
        </w:rPr>
        <w:t>Demonstrating practical skills in laboratory/field settings</w:t>
      </w:r>
    </w:p>
    <w:p w:rsidRPr="000655AC" w:rsidR="00C4340F" w:rsidP="00C4340F" w:rsidRDefault="00C4340F">
      <w:pPr>
        <w:pStyle w:val="Default"/>
        <w:rPr>
          <w:rFonts w:ascii="Helvetica" w:hAnsi="Helvetica" w:cs="Arial"/>
          <w:sz w:val="22"/>
          <w:szCs w:val="22"/>
        </w:rPr>
      </w:pPr>
    </w:p>
    <w:p w:rsidR="00DD7C31" w:rsidP="00C4340F" w:rsidRDefault="00C4340F">
      <w:pPr>
        <w:pStyle w:val="Default"/>
        <w:rPr>
          <w:rFonts w:ascii="Helvetica" w:hAnsi="Helvetica" w:cs="Arial"/>
          <w:b/>
          <w:sz w:val="22"/>
          <w:szCs w:val="22"/>
        </w:rPr>
      </w:pPr>
      <w:r w:rsidRPr="000655AC">
        <w:rPr>
          <w:rFonts w:ascii="Helvetica" w:hAnsi="Helvetica" w:cs="Arial"/>
          <w:sz w:val="22"/>
          <w:szCs w:val="22"/>
        </w:rPr>
        <w:t xml:space="preserve">2. Students must </w:t>
      </w:r>
      <w:r w:rsidRPr="000655AC">
        <w:rPr>
          <w:rFonts w:ascii="Helvetica" w:hAnsi="Helvetica" w:cs="Arial"/>
          <w:b/>
          <w:sz w:val="22"/>
          <w:szCs w:val="22"/>
        </w:rPr>
        <w:t>not</w:t>
      </w:r>
    </w:p>
    <w:p w:rsidR="004B7CEC" w:rsidP="00DD7C31" w:rsidRDefault="00C4340F">
      <w:pPr>
        <w:pStyle w:val="Default"/>
        <w:numPr>
          <w:ilvl w:val="0"/>
          <w:numId w:val="6"/>
        </w:numPr>
        <w:rPr>
          <w:rFonts w:ascii="Helvetica" w:hAnsi="Helvetica" w:cs="Arial"/>
          <w:sz w:val="22"/>
          <w:szCs w:val="22"/>
        </w:rPr>
      </w:pPr>
      <w:r w:rsidRPr="000655AC">
        <w:rPr>
          <w:rFonts w:ascii="Helvetica" w:hAnsi="Helvetica" w:cs="Arial"/>
          <w:sz w:val="22"/>
          <w:szCs w:val="22"/>
        </w:rPr>
        <w:t>act</w:t>
      </w:r>
      <w:r w:rsidR="00DD7C31">
        <w:rPr>
          <w:rFonts w:ascii="Helvetica" w:hAnsi="Helvetica" w:cs="Arial"/>
          <w:sz w:val="22"/>
          <w:szCs w:val="22"/>
        </w:rPr>
        <w:t xml:space="preserve"> as Module Convenors or Leaders</w:t>
      </w:r>
    </w:p>
    <w:p w:rsidR="00DD7C31" w:rsidP="00DD7C31" w:rsidRDefault="00DD7C31">
      <w:pPr>
        <w:pStyle w:val="Default"/>
        <w:numPr>
          <w:ilvl w:val="0"/>
          <w:numId w:val="6"/>
        </w:numPr>
        <w:rPr>
          <w:rFonts w:ascii="Helvetica" w:hAnsi="Helvetica" w:cs="Arial"/>
          <w:sz w:val="22"/>
          <w:szCs w:val="22"/>
        </w:rPr>
      </w:pPr>
      <w:r>
        <w:rPr>
          <w:rFonts w:ascii="Helvetica" w:hAnsi="Helvetica" w:cs="Arial"/>
          <w:sz w:val="22"/>
          <w:szCs w:val="22"/>
        </w:rPr>
        <w:t>undertake the role of Personal Tutor</w:t>
      </w:r>
    </w:p>
    <w:p w:rsidRPr="000655AC" w:rsidR="007F4D45" w:rsidP="00DD7C31" w:rsidRDefault="007F4D45">
      <w:pPr>
        <w:pStyle w:val="Default"/>
        <w:numPr>
          <w:ilvl w:val="0"/>
          <w:numId w:val="6"/>
        </w:numPr>
        <w:rPr>
          <w:rFonts w:ascii="Helvetica" w:hAnsi="Helvetica" w:cs="Arial"/>
          <w:sz w:val="22"/>
          <w:szCs w:val="22"/>
        </w:rPr>
      </w:pPr>
      <w:r>
        <w:rPr>
          <w:rFonts w:ascii="Helvetica" w:hAnsi="Helvetica" w:cs="Arial"/>
          <w:sz w:val="22"/>
          <w:szCs w:val="22"/>
        </w:rPr>
        <w:t>act as Dissertation Supervisors</w:t>
      </w:r>
    </w:p>
    <w:p w:rsidRPr="000655AC" w:rsidR="00C4340F" w:rsidP="00C4340F" w:rsidRDefault="00C4340F">
      <w:pPr>
        <w:pStyle w:val="Default"/>
        <w:rPr>
          <w:rFonts w:ascii="Helvetica" w:hAnsi="Helvetica" w:cs="Arial"/>
          <w:sz w:val="22"/>
          <w:szCs w:val="22"/>
        </w:rPr>
      </w:pPr>
    </w:p>
    <w:p w:rsidR="00C4340F" w:rsidP="00C4340F" w:rsidRDefault="00C4340F">
      <w:pPr>
        <w:pStyle w:val="Default"/>
        <w:rPr>
          <w:rFonts w:ascii="Helvetica" w:hAnsi="Helvetica" w:cs="Arial"/>
          <w:sz w:val="22"/>
          <w:szCs w:val="22"/>
        </w:rPr>
      </w:pPr>
      <w:r w:rsidRPr="000655AC">
        <w:rPr>
          <w:rFonts w:ascii="Helvetica" w:hAnsi="Helvetica" w:cs="Arial"/>
          <w:sz w:val="22"/>
          <w:szCs w:val="22"/>
        </w:rPr>
        <w:t>3</w:t>
      </w:r>
      <w:r w:rsidRPr="005553F3">
        <w:rPr>
          <w:rFonts w:ascii="Helvetica" w:hAnsi="Helvetica" w:cs="Arial"/>
          <w:sz w:val="22"/>
          <w:szCs w:val="22"/>
        </w:rPr>
        <w:t xml:space="preserve">. </w:t>
      </w:r>
      <w:r w:rsidRPr="005553F3" w:rsidR="000655AC">
        <w:rPr>
          <w:rFonts w:ascii="Helvetica" w:hAnsi="Helvetica" w:cs="Arial"/>
          <w:sz w:val="22"/>
          <w:szCs w:val="22"/>
        </w:rPr>
        <w:t>P</w:t>
      </w:r>
      <w:r w:rsidRPr="005553F3">
        <w:rPr>
          <w:rFonts w:ascii="Helvetica" w:hAnsi="Helvetica" w:cs="Arial"/>
          <w:sz w:val="22"/>
          <w:szCs w:val="22"/>
        </w:rPr>
        <w:t>ostgraduate research student</w:t>
      </w:r>
      <w:r w:rsidRPr="005553F3" w:rsidR="005553F3">
        <w:rPr>
          <w:rFonts w:ascii="Helvetica" w:hAnsi="Helvetica" w:cs="Arial"/>
          <w:sz w:val="22"/>
          <w:szCs w:val="22"/>
        </w:rPr>
        <w:t>s</w:t>
      </w:r>
      <w:r w:rsidRPr="005553F3">
        <w:rPr>
          <w:rFonts w:ascii="Helvetica" w:hAnsi="Helvetica" w:cs="Arial"/>
          <w:sz w:val="22"/>
          <w:szCs w:val="22"/>
        </w:rPr>
        <w:t xml:space="preserve"> </w:t>
      </w:r>
      <w:r w:rsidRPr="005553F3" w:rsidR="000655AC">
        <w:rPr>
          <w:rFonts w:ascii="Helvetica" w:hAnsi="Helvetica" w:cs="Arial"/>
          <w:sz w:val="22"/>
          <w:szCs w:val="22"/>
        </w:rPr>
        <w:t xml:space="preserve">may only act </w:t>
      </w:r>
      <w:r w:rsidRPr="005553F3">
        <w:rPr>
          <w:rFonts w:ascii="Helvetica" w:hAnsi="Helvetica" w:cs="Arial"/>
          <w:sz w:val="22"/>
          <w:szCs w:val="22"/>
        </w:rPr>
        <w:t xml:space="preserve">as </w:t>
      </w:r>
      <w:r w:rsidRPr="005553F3" w:rsidR="000655AC">
        <w:rPr>
          <w:rFonts w:ascii="Helvetica" w:hAnsi="Helvetica" w:cs="Arial"/>
          <w:b/>
          <w:sz w:val="22"/>
          <w:szCs w:val="22"/>
        </w:rPr>
        <w:t>secondary</w:t>
      </w:r>
      <w:r w:rsidRPr="005553F3">
        <w:rPr>
          <w:rFonts w:ascii="Helvetica" w:hAnsi="Helvetica" w:cs="Arial"/>
          <w:sz w:val="22"/>
          <w:szCs w:val="22"/>
        </w:rPr>
        <w:t xml:space="preserve"> marker</w:t>
      </w:r>
      <w:r w:rsidRPr="005553F3" w:rsidR="000655AC">
        <w:rPr>
          <w:rFonts w:ascii="Helvetica" w:hAnsi="Helvetica" w:cs="Arial"/>
          <w:sz w:val="22"/>
          <w:szCs w:val="22"/>
        </w:rPr>
        <w:t>s</w:t>
      </w:r>
      <w:r w:rsidRPr="005553F3">
        <w:rPr>
          <w:rFonts w:ascii="Helvetica" w:hAnsi="Helvetica" w:cs="Arial"/>
          <w:sz w:val="22"/>
          <w:szCs w:val="22"/>
        </w:rPr>
        <w:t xml:space="preserve"> on a module</w:t>
      </w:r>
      <w:r w:rsidRPr="005553F3" w:rsidR="000655AC">
        <w:rPr>
          <w:rFonts w:ascii="Helvetica" w:hAnsi="Helvetica" w:cs="Arial"/>
          <w:sz w:val="22"/>
          <w:szCs w:val="22"/>
        </w:rPr>
        <w:t>.</w:t>
      </w:r>
      <w:r w:rsidRPr="000655AC">
        <w:rPr>
          <w:rFonts w:ascii="Helvetica" w:hAnsi="Helvetica" w:cs="Arial"/>
          <w:sz w:val="22"/>
          <w:szCs w:val="22"/>
        </w:rPr>
        <w:t xml:space="preserve"> </w:t>
      </w:r>
      <w:r w:rsidRPr="000655AC" w:rsidR="000655AC">
        <w:rPr>
          <w:rFonts w:ascii="Helvetica" w:hAnsi="Helvetica" w:cs="Arial"/>
          <w:sz w:val="22"/>
          <w:szCs w:val="22"/>
        </w:rPr>
        <w:t>T</w:t>
      </w:r>
      <w:r w:rsidRPr="000655AC" w:rsidR="008E7DA9">
        <w:rPr>
          <w:rFonts w:ascii="Helvetica" w:hAnsi="Helvetica" w:cs="Arial"/>
          <w:sz w:val="22"/>
          <w:szCs w:val="22"/>
        </w:rPr>
        <w:t xml:space="preserve">heir marking must be moderated in accordance with the procedures set out in the University’s </w:t>
      </w:r>
      <w:r w:rsidRPr="00B07DE7" w:rsidR="008E7DA9">
        <w:rPr>
          <w:rFonts w:ascii="Helvetica" w:hAnsi="Helvetica" w:cs="Arial"/>
          <w:sz w:val="22"/>
          <w:szCs w:val="22"/>
        </w:rPr>
        <w:lastRenderedPageBreak/>
        <w:t>assessment policy</w:t>
      </w:r>
      <w:r w:rsidR="00B07DE7">
        <w:rPr>
          <w:rFonts w:ascii="Helvetica" w:hAnsi="Helvetica" w:cs="Arial"/>
          <w:sz w:val="22"/>
          <w:szCs w:val="22"/>
        </w:rPr>
        <w:t xml:space="preserve"> </w:t>
      </w:r>
      <w:r w:rsidR="00536036">
        <w:rPr>
          <w:rFonts w:ascii="Helvetica" w:hAnsi="Helvetica" w:cs="Arial"/>
          <w:sz w:val="22"/>
          <w:szCs w:val="22"/>
        </w:rPr>
        <w:t>-</w:t>
      </w:r>
      <w:r w:rsidR="00B07DE7">
        <w:rPr>
          <w:rFonts w:ascii="Helvetica" w:hAnsi="Helvetica" w:cs="Arial"/>
          <w:sz w:val="22"/>
          <w:szCs w:val="22"/>
        </w:rPr>
        <w:t xml:space="preserve"> </w:t>
      </w:r>
      <w:hyperlink w:history="1" r:id="rId9">
        <w:r w:rsidRPr="00186CCB" w:rsidR="00536036">
          <w:rPr>
            <w:rStyle w:val="Hyperlink"/>
            <w:rFonts w:ascii="Helvetica" w:hAnsi="Helvetica" w:cs="Arial"/>
            <w:sz w:val="22"/>
            <w:szCs w:val="22"/>
          </w:rPr>
          <w:t>https://www.stmarys.ac.uk/ctess/docs/assessment/assessment-policy.pdf</w:t>
        </w:r>
      </w:hyperlink>
    </w:p>
    <w:p w:rsidRPr="000655AC" w:rsidR="004B7CEC" w:rsidP="004B7CEC" w:rsidRDefault="004B7CEC">
      <w:pPr>
        <w:autoSpaceDE w:val="0"/>
        <w:autoSpaceDN w:val="0"/>
        <w:adjustRightInd w:val="0"/>
        <w:spacing w:after="0" w:line="240" w:lineRule="auto"/>
        <w:rPr>
          <w:rFonts w:ascii="Helvetica" w:hAnsi="Helvetica" w:cs="Calibri"/>
          <w:color w:val="000000"/>
        </w:rPr>
      </w:pPr>
    </w:p>
    <w:p w:rsidRPr="000655AC" w:rsidR="004B7CEC" w:rsidP="004B7CEC" w:rsidRDefault="008E7DA9">
      <w:pPr>
        <w:autoSpaceDE w:val="0"/>
        <w:autoSpaceDN w:val="0"/>
        <w:adjustRightInd w:val="0"/>
        <w:spacing w:after="0" w:line="240" w:lineRule="auto"/>
        <w:rPr>
          <w:rFonts w:ascii="Helvetica" w:hAnsi="Helvetica" w:cs="Calibri"/>
          <w:color w:val="000000"/>
        </w:rPr>
      </w:pPr>
      <w:r w:rsidRPr="000655AC">
        <w:rPr>
          <w:rFonts w:ascii="Helvetica" w:hAnsi="Helvetica" w:cs="Calibri"/>
          <w:color w:val="000000"/>
        </w:rPr>
        <w:t>4</w:t>
      </w:r>
      <w:r w:rsidRPr="000655AC" w:rsidR="004B7CEC">
        <w:rPr>
          <w:rFonts w:ascii="Helvetica" w:hAnsi="Helvetica" w:cs="Calibri"/>
          <w:color w:val="000000"/>
        </w:rPr>
        <w:t xml:space="preserve">. To undertake such other duties as agreed with the </w:t>
      </w:r>
      <w:r w:rsidR="00536036">
        <w:rPr>
          <w:rFonts w:ascii="Helvetica" w:hAnsi="Helvetica" w:cs="Calibri"/>
          <w:color w:val="000000"/>
        </w:rPr>
        <w:t>PGR Lead</w:t>
      </w:r>
      <w:r w:rsidRPr="000655AC" w:rsidR="004B7CEC">
        <w:rPr>
          <w:rFonts w:ascii="Helvetica" w:hAnsi="Helvetica" w:cs="Calibri"/>
          <w:color w:val="000000"/>
        </w:rPr>
        <w:t xml:space="preserve">/Head of Department. Some activities may be during the evening and occasionally at weekends. </w:t>
      </w:r>
    </w:p>
    <w:p w:rsidR="00536036" w:rsidP="004B7CEC" w:rsidRDefault="000655AC">
      <w:pPr>
        <w:spacing w:before="100" w:beforeAutospacing="1" w:after="100" w:afterAutospacing="1" w:line="240" w:lineRule="auto"/>
        <w:rPr>
          <w:rFonts w:ascii="Helvetica" w:hAnsi="Helvetica"/>
        </w:rPr>
      </w:pPr>
      <w:r w:rsidRPr="000655AC">
        <w:rPr>
          <w:rFonts w:ascii="Helvetica" w:hAnsi="Helvetica"/>
        </w:rPr>
        <w:t>5</w:t>
      </w:r>
      <w:r w:rsidRPr="005553F3">
        <w:rPr>
          <w:rFonts w:ascii="Helvetica" w:hAnsi="Helvetica"/>
        </w:rPr>
        <w:t>. Postgraduate research students undertaking teaching are required to attend an intensive teaching workshop held in September</w:t>
      </w:r>
      <w:r w:rsidRPr="005553F3" w:rsidR="005553F3">
        <w:rPr>
          <w:rFonts w:ascii="Helvetica" w:hAnsi="Helvetica"/>
        </w:rPr>
        <w:t>/February each year</w:t>
      </w:r>
      <w:r w:rsidR="00536036">
        <w:rPr>
          <w:rFonts w:ascii="Helvetica" w:hAnsi="Helvetica"/>
        </w:rPr>
        <w:t>.</w:t>
      </w:r>
    </w:p>
    <w:p w:rsidRPr="000655AC" w:rsidR="004B7CEC" w:rsidP="004B7CEC" w:rsidRDefault="00684AA7">
      <w:pPr>
        <w:spacing w:before="100" w:beforeAutospacing="1" w:after="100" w:afterAutospacing="1" w:line="240" w:lineRule="auto"/>
        <w:rPr>
          <w:rFonts w:ascii="Helvetica" w:hAnsi="Helvetica" w:eastAsia="Times New Roman" w:cs="Times New Roman"/>
          <w:lang w:eastAsia="en-GB"/>
        </w:rPr>
      </w:pPr>
      <w:r>
        <w:rPr>
          <w:rFonts w:ascii="Helvetica" w:hAnsi="Helvetica" w:eastAsia="Times New Roman" w:cs="Times New Roman"/>
          <w:lang w:eastAsia="en-GB"/>
        </w:rPr>
        <w:t>6</w:t>
      </w:r>
      <w:r w:rsidRPr="000655AC" w:rsidR="004B7CEC">
        <w:rPr>
          <w:rFonts w:ascii="Helvetica" w:hAnsi="Helvetica" w:eastAsia="Times New Roman" w:cs="Times New Roman"/>
          <w:lang w:eastAsia="en-GB"/>
        </w:rPr>
        <w:t>. Any absence from the University must be agreed in advance with th</w:t>
      </w:r>
      <w:r w:rsidR="00536036">
        <w:rPr>
          <w:rFonts w:ascii="Helvetica" w:hAnsi="Helvetica" w:eastAsia="Times New Roman" w:cs="Times New Roman"/>
          <w:lang w:eastAsia="en-GB"/>
        </w:rPr>
        <w:t>e Director of Studies</w:t>
      </w:r>
      <w:r w:rsidRPr="000655AC" w:rsidR="004B7CEC">
        <w:rPr>
          <w:rFonts w:ascii="Helvetica" w:hAnsi="Helvetica" w:eastAsia="Times New Roman" w:cs="Times New Roman"/>
          <w:lang w:eastAsia="en-GB"/>
        </w:rPr>
        <w:t xml:space="preserve"> and</w:t>
      </w:r>
      <w:r w:rsidR="00536036">
        <w:rPr>
          <w:rFonts w:ascii="Helvetica" w:hAnsi="Helvetica" w:eastAsia="Times New Roman" w:cs="Times New Roman"/>
          <w:lang w:eastAsia="en-GB"/>
        </w:rPr>
        <w:t xml:space="preserve"> Head of Department</w:t>
      </w:r>
      <w:r w:rsidRPr="000655AC" w:rsidR="004B7CEC">
        <w:rPr>
          <w:rFonts w:ascii="Helvetica" w:hAnsi="Helvetica" w:eastAsia="Times New Roman" w:cs="Times New Roman"/>
          <w:lang w:eastAsia="en-GB"/>
        </w:rPr>
        <w:t xml:space="preserve">. </w:t>
      </w:r>
    </w:p>
    <w:p w:rsidRPr="000655AC" w:rsidR="004B7CEC" w:rsidP="004B7CEC" w:rsidRDefault="00684AA7">
      <w:pPr>
        <w:spacing w:before="100" w:beforeAutospacing="1" w:after="100" w:afterAutospacing="1" w:line="240" w:lineRule="auto"/>
        <w:rPr>
          <w:rFonts w:ascii="Helvetica" w:hAnsi="Helvetica" w:eastAsia="Times New Roman" w:cs="Times New Roman"/>
          <w:lang w:eastAsia="en-GB"/>
        </w:rPr>
      </w:pPr>
      <w:r>
        <w:rPr>
          <w:rFonts w:ascii="Helvetica" w:hAnsi="Helvetica" w:eastAsia="Times New Roman" w:cs="Times New Roman"/>
          <w:lang w:eastAsia="en-GB"/>
        </w:rPr>
        <w:t>7</w:t>
      </w:r>
      <w:r w:rsidRPr="000655AC" w:rsidR="004B7CEC">
        <w:rPr>
          <w:rFonts w:ascii="Helvetica" w:hAnsi="Helvetica" w:eastAsia="Times New Roman" w:cs="Times New Roman"/>
          <w:lang w:eastAsia="en-GB"/>
        </w:rPr>
        <w:t xml:space="preserve">. Continuation of a studentship is subject to satisfactory academic progress </w:t>
      </w:r>
      <w:r>
        <w:rPr>
          <w:rFonts w:ascii="Helvetica" w:hAnsi="Helvetica" w:eastAsia="Times New Roman" w:cs="Times New Roman"/>
          <w:lang w:eastAsia="en-GB"/>
        </w:rPr>
        <w:t>o</w:t>
      </w:r>
      <w:r w:rsidRPr="000655AC" w:rsidR="004B7CEC">
        <w:rPr>
          <w:rFonts w:ascii="Helvetica" w:hAnsi="Helvetica" w:eastAsia="Times New Roman" w:cs="Times New Roman"/>
          <w:lang w:eastAsia="en-GB"/>
        </w:rPr>
        <w:t xml:space="preserve">n the programme of study as determined in the relevant regulations. </w:t>
      </w:r>
      <w:r w:rsidRPr="005553F3" w:rsidR="000655AC">
        <w:rPr>
          <w:rFonts w:ascii="Helvetica" w:hAnsi="Helvetica" w:eastAsia="Times New Roman" w:cs="Times New Roman"/>
          <w:lang w:eastAsia="en-GB"/>
        </w:rPr>
        <w:t>Those students engaged in teaching activities must have satisfied the requirements stipulate</w:t>
      </w:r>
      <w:r w:rsidRPr="005553F3" w:rsidR="005553F3">
        <w:rPr>
          <w:rFonts w:ascii="Helvetica" w:hAnsi="Helvetica" w:eastAsia="Times New Roman" w:cs="Times New Roman"/>
          <w:lang w:eastAsia="en-GB"/>
        </w:rPr>
        <w:t>d</w:t>
      </w:r>
      <w:r w:rsidRPr="005553F3" w:rsidR="000655AC">
        <w:rPr>
          <w:rFonts w:ascii="Helvetica" w:hAnsi="Helvetica" w:eastAsia="Times New Roman" w:cs="Times New Roman"/>
          <w:lang w:eastAsia="en-GB"/>
        </w:rPr>
        <w:t xml:space="preserve"> by the appropriate </w:t>
      </w:r>
      <w:r w:rsidR="00536036">
        <w:rPr>
          <w:rFonts w:ascii="Helvetica" w:hAnsi="Helvetica" w:eastAsia="Times New Roman" w:cs="Times New Roman"/>
          <w:lang w:eastAsia="en-GB"/>
        </w:rPr>
        <w:t xml:space="preserve">Subject/Course </w:t>
      </w:r>
      <w:r w:rsidRPr="005553F3" w:rsidR="000655AC">
        <w:rPr>
          <w:rFonts w:ascii="Helvetica" w:hAnsi="Helvetica" w:eastAsia="Times New Roman" w:cs="Times New Roman"/>
          <w:lang w:eastAsia="en-GB"/>
        </w:rPr>
        <w:t>Lead for the module on which they have taught.</w:t>
      </w:r>
      <w:r w:rsidRPr="000655AC" w:rsidR="000655AC">
        <w:rPr>
          <w:rFonts w:ascii="Helvetica" w:hAnsi="Helvetica" w:eastAsia="Times New Roman" w:cs="Times New Roman"/>
          <w:lang w:eastAsia="en-GB"/>
        </w:rPr>
        <w:t xml:space="preserve"> </w:t>
      </w:r>
      <w:r w:rsidRPr="000655AC" w:rsidR="004B7CEC">
        <w:rPr>
          <w:rFonts w:ascii="Helvetica" w:hAnsi="Helvetica" w:eastAsia="Times New Roman" w:cs="Times New Roman"/>
          <w:lang w:eastAsia="en-GB"/>
        </w:rPr>
        <w:t xml:space="preserve">At the end of each academic year, the </w:t>
      </w:r>
      <w:r w:rsidR="00536036">
        <w:rPr>
          <w:rFonts w:ascii="Helvetica" w:hAnsi="Helvetica" w:eastAsia="Times New Roman" w:cs="Times New Roman"/>
          <w:lang w:eastAsia="en-GB"/>
        </w:rPr>
        <w:t>PGR Lead, in consultation with the Director of Studies,</w:t>
      </w:r>
      <w:r w:rsidRPr="000655AC" w:rsidR="004B7CEC">
        <w:rPr>
          <w:rFonts w:ascii="Helvetica" w:hAnsi="Helvetica" w:eastAsia="Times New Roman" w:cs="Times New Roman"/>
          <w:lang w:eastAsia="en-GB"/>
        </w:rPr>
        <w:t xml:space="preserve"> must recommend whether or not the student should be permitted to continue on the studentship scheme.  This recommendation will be considered by the Research </w:t>
      </w:r>
      <w:r w:rsidR="00536036">
        <w:rPr>
          <w:rFonts w:ascii="Helvetica" w:hAnsi="Helvetica" w:eastAsia="Times New Roman" w:cs="Times New Roman"/>
          <w:lang w:eastAsia="en-GB"/>
        </w:rPr>
        <w:t>Degrees Committee</w:t>
      </w:r>
      <w:r w:rsidRPr="000655AC" w:rsidR="004B7CEC">
        <w:rPr>
          <w:rFonts w:ascii="Helvetica" w:hAnsi="Helvetica" w:eastAsia="Times New Roman" w:cs="Times New Roman"/>
          <w:lang w:eastAsia="en-GB"/>
        </w:rPr>
        <w:t>.  Should progress be satisfactory then the studentship will be renewed for a further 12 months, or until the end of the period of registration, whichever date is sooner.  If progress is unsatisfactory, the</w:t>
      </w:r>
      <w:r w:rsidR="00536036">
        <w:rPr>
          <w:rFonts w:ascii="Helvetica" w:hAnsi="Helvetica" w:eastAsia="Times New Roman" w:cs="Times New Roman"/>
          <w:lang w:eastAsia="en-GB"/>
        </w:rPr>
        <w:t xml:space="preserve"> PGR Lead</w:t>
      </w:r>
      <w:r w:rsidRPr="000655AC" w:rsidR="004B7CEC">
        <w:rPr>
          <w:rFonts w:ascii="Helvetica" w:hAnsi="Helvetica" w:eastAsia="Times New Roman" w:cs="Times New Roman"/>
          <w:lang w:eastAsia="en-GB"/>
        </w:rPr>
        <w:t xml:space="preserve">, in conjunction with the Chair of Research </w:t>
      </w:r>
      <w:r w:rsidR="00536036">
        <w:rPr>
          <w:rFonts w:ascii="Helvetica" w:hAnsi="Helvetica" w:eastAsia="Times New Roman" w:cs="Times New Roman"/>
          <w:lang w:eastAsia="en-GB"/>
        </w:rPr>
        <w:t>Degrees Committee</w:t>
      </w:r>
      <w:r w:rsidRPr="000655AC" w:rsidR="004B7CEC">
        <w:rPr>
          <w:rFonts w:ascii="Helvetica" w:hAnsi="Helvetica" w:eastAsia="Times New Roman" w:cs="Times New Roman"/>
          <w:lang w:eastAsia="en-GB"/>
        </w:rPr>
        <w:t xml:space="preserve"> should recognise either:</w:t>
      </w:r>
    </w:p>
    <w:p w:rsidRPr="000655AC" w:rsidR="004B7CEC" w:rsidP="004B7CEC" w:rsidRDefault="004B7CEC">
      <w:pPr>
        <w:numPr>
          <w:ilvl w:val="0"/>
          <w:numId w:val="2"/>
        </w:numPr>
        <w:spacing w:before="100" w:beforeAutospacing="1" w:after="100" w:afterAutospacing="1" w:line="240" w:lineRule="auto"/>
        <w:contextualSpacing/>
        <w:rPr>
          <w:rFonts w:ascii="Helvetica" w:hAnsi="Helvetica" w:eastAsia="Times New Roman" w:cs="Times New Roman"/>
          <w:lang w:eastAsia="en-GB"/>
        </w:rPr>
      </w:pPr>
      <w:r w:rsidRPr="000655AC">
        <w:rPr>
          <w:rFonts w:ascii="Helvetica" w:hAnsi="Helvetica" w:eastAsia="Times New Roman" w:cs="Times New Roman"/>
          <w:lang w:eastAsia="en-GB"/>
        </w:rPr>
        <w:t>that the studentship be renewed for a further limited period (e.g. three months) after which the student’s progress will be reviewed again to determine whether or not the studentship may be renewed for the remainder of the academic year, or</w:t>
      </w:r>
    </w:p>
    <w:p w:rsidRPr="000655AC" w:rsidR="004B7CEC" w:rsidP="004B7CEC" w:rsidRDefault="004B7CEC">
      <w:pPr>
        <w:numPr>
          <w:ilvl w:val="0"/>
          <w:numId w:val="2"/>
        </w:numPr>
        <w:spacing w:before="100" w:beforeAutospacing="1" w:after="100" w:afterAutospacing="1" w:line="240" w:lineRule="auto"/>
        <w:contextualSpacing/>
        <w:rPr>
          <w:rFonts w:ascii="Helvetica" w:hAnsi="Helvetica" w:eastAsia="Times New Roman" w:cs="Times New Roman"/>
          <w:lang w:eastAsia="en-GB"/>
        </w:rPr>
      </w:pPr>
      <w:r w:rsidRPr="000655AC">
        <w:rPr>
          <w:rFonts w:ascii="Helvetica" w:hAnsi="Helvetica" w:eastAsia="Times New Roman" w:cs="Times New Roman"/>
          <w:lang w:eastAsia="en-GB"/>
        </w:rPr>
        <w:t>that the studentship be terminated.</w:t>
      </w:r>
    </w:p>
    <w:p w:rsidRPr="000655AC" w:rsidR="004B7CEC" w:rsidP="004B7CEC" w:rsidRDefault="004B7CEC">
      <w:pPr>
        <w:spacing w:before="100" w:beforeAutospacing="1" w:after="100" w:afterAutospacing="1" w:line="240" w:lineRule="auto"/>
        <w:rPr>
          <w:rFonts w:ascii="Helvetica" w:hAnsi="Helvetica" w:eastAsia="Times New Roman" w:cs="Times New Roman"/>
          <w:lang w:eastAsia="en-GB"/>
        </w:rPr>
      </w:pPr>
    </w:p>
    <w:p w:rsidRPr="000655AC" w:rsidR="004B7CEC" w:rsidP="004B7CEC" w:rsidRDefault="004B7CEC">
      <w:pPr>
        <w:autoSpaceDE w:val="0"/>
        <w:autoSpaceDN w:val="0"/>
        <w:adjustRightInd w:val="0"/>
        <w:spacing w:after="0" w:line="240" w:lineRule="auto"/>
        <w:rPr>
          <w:rFonts w:ascii="Helvetica" w:hAnsi="Helvetica" w:cs="Calibri"/>
          <w:color w:val="000000"/>
        </w:rPr>
      </w:pPr>
    </w:p>
    <w:p w:rsidRPr="000655AC" w:rsidR="004B7CEC" w:rsidP="004B7CEC" w:rsidRDefault="004B7CEC">
      <w:pPr>
        <w:autoSpaceDE w:val="0"/>
        <w:autoSpaceDN w:val="0"/>
        <w:adjustRightInd w:val="0"/>
        <w:spacing w:after="0" w:line="240" w:lineRule="auto"/>
        <w:rPr>
          <w:rFonts w:ascii="Helvetica" w:hAnsi="Helvetica" w:cs="Calibri"/>
          <w:color w:val="000000"/>
        </w:rPr>
      </w:pPr>
    </w:p>
    <w:p w:rsidRPr="000655AC" w:rsidR="004B7CEC" w:rsidP="004B7CEC" w:rsidRDefault="004B7CEC">
      <w:pPr>
        <w:autoSpaceDE w:val="0"/>
        <w:autoSpaceDN w:val="0"/>
        <w:adjustRightInd w:val="0"/>
        <w:spacing w:after="0" w:line="240" w:lineRule="auto"/>
        <w:rPr>
          <w:rFonts w:ascii="Helvetica" w:hAnsi="Helvetica" w:cs="Arial"/>
          <w:color w:val="000000"/>
        </w:rPr>
      </w:pPr>
    </w:p>
    <w:p w:rsidRPr="000655AC" w:rsidR="004F01E3" w:rsidRDefault="00536036">
      <w:r>
        <w:rPr>
          <w:rFonts w:ascii="Helvetica" w:hAnsi="Helvetica" w:eastAsia="Times New Roman" w:cs="Times New Roman"/>
          <w:b/>
          <w:i/>
          <w:lang w:eastAsia="en-GB"/>
        </w:rPr>
        <w:t>Updated 01/2022</w:t>
      </w:r>
    </w:p>
    <w:sectPr w:rsidRPr="000655AC" w:rsidR="004F01E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A90" w:rsidRDefault="00323A90" w:rsidP="002D048A">
      <w:pPr>
        <w:spacing w:after="0" w:line="240" w:lineRule="auto"/>
      </w:pPr>
      <w:r>
        <w:separator/>
      </w:r>
    </w:p>
  </w:endnote>
  <w:endnote w:type="continuationSeparator" w:id="0">
    <w:p w:rsidR="00323A90" w:rsidRDefault="00323A90" w:rsidP="002D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554737"/>
      <w:docPartObj>
        <w:docPartGallery w:val="Page Numbers (Bottom of Page)"/>
        <w:docPartUnique/>
      </w:docPartObj>
    </w:sdtPr>
    <w:sdtEndPr>
      <w:rPr>
        <w:color w:val="808080" w:themeColor="background1" w:themeShade="80"/>
        <w:spacing w:val="60"/>
      </w:rPr>
    </w:sdtEndPr>
    <w:sdtContent>
      <w:p w:rsidR="00076FBB" w:rsidRDefault="00076FB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7DE7" w:rsidRPr="00B07DE7">
          <w:rPr>
            <w:b/>
            <w:bCs/>
            <w:noProof/>
          </w:rPr>
          <w:t>2</w:t>
        </w:r>
        <w:r>
          <w:rPr>
            <w:b/>
            <w:bCs/>
            <w:noProof/>
          </w:rPr>
          <w:fldChar w:fldCharType="end"/>
        </w:r>
        <w:r>
          <w:rPr>
            <w:b/>
            <w:bCs/>
          </w:rPr>
          <w:t xml:space="preserve"> | </w:t>
        </w:r>
        <w:r>
          <w:rPr>
            <w:color w:val="808080" w:themeColor="background1" w:themeShade="80"/>
            <w:spacing w:val="60"/>
          </w:rPr>
          <w:t>Page</w:t>
        </w:r>
      </w:p>
    </w:sdtContent>
  </w:sdt>
  <w:p w:rsidR="00076FBB" w:rsidRDefault="0007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A90" w:rsidRDefault="00323A90" w:rsidP="002D048A">
      <w:pPr>
        <w:spacing w:after="0" w:line="240" w:lineRule="auto"/>
      </w:pPr>
      <w:r>
        <w:separator/>
      </w:r>
    </w:p>
  </w:footnote>
  <w:footnote w:type="continuationSeparator" w:id="0">
    <w:p w:rsidR="00323A90" w:rsidRDefault="00323A90" w:rsidP="002D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8A" w:rsidRDefault="002D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90BC7"/>
    <w:multiLevelType w:val="hybridMultilevel"/>
    <w:tmpl w:val="7FB26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3A6CBC"/>
    <w:multiLevelType w:val="hybridMultilevel"/>
    <w:tmpl w:val="74FC7C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EA3AC3"/>
    <w:multiLevelType w:val="hybridMultilevel"/>
    <w:tmpl w:val="33FC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76F45"/>
    <w:multiLevelType w:val="hybridMultilevel"/>
    <w:tmpl w:val="5FBA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C3D11"/>
    <w:multiLevelType w:val="hybridMultilevel"/>
    <w:tmpl w:val="56C0728C"/>
    <w:lvl w:ilvl="0" w:tplc="8B6E5B02">
      <w:start w:val="1"/>
      <w:numFmt w:val="bullet"/>
      <w:lvlText w:val="•"/>
      <w:lvlJc w:val="left"/>
      <w:pPr>
        <w:ind w:left="1080" w:hanging="360"/>
      </w:pPr>
      <w:rPr>
        <w:rFonts w:ascii="Helvetica" w:eastAsiaTheme="minorHAnsi"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B658B3"/>
    <w:multiLevelType w:val="hybridMultilevel"/>
    <w:tmpl w:val="D28C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EC"/>
    <w:rsid w:val="000655AC"/>
    <w:rsid w:val="00076FBB"/>
    <w:rsid w:val="00171E5A"/>
    <w:rsid w:val="00241159"/>
    <w:rsid w:val="002D048A"/>
    <w:rsid w:val="00323A90"/>
    <w:rsid w:val="00325342"/>
    <w:rsid w:val="003F1FAA"/>
    <w:rsid w:val="004B7CEC"/>
    <w:rsid w:val="004F77BA"/>
    <w:rsid w:val="00536036"/>
    <w:rsid w:val="005553F3"/>
    <w:rsid w:val="00663A17"/>
    <w:rsid w:val="00684AA7"/>
    <w:rsid w:val="006D149F"/>
    <w:rsid w:val="006F7DA3"/>
    <w:rsid w:val="007F4D45"/>
    <w:rsid w:val="00827EFD"/>
    <w:rsid w:val="008E7DA9"/>
    <w:rsid w:val="009A52BF"/>
    <w:rsid w:val="00A550A5"/>
    <w:rsid w:val="00A80C7E"/>
    <w:rsid w:val="00AA1521"/>
    <w:rsid w:val="00B07C4E"/>
    <w:rsid w:val="00B07D0E"/>
    <w:rsid w:val="00B07DE7"/>
    <w:rsid w:val="00C40B6C"/>
    <w:rsid w:val="00C4340F"/>
    <w:rsid w:val="00D02B93"/>
    <w:rsid w:val="00DD7C31"/>
    <w:rsid w:val="00F14412"/>
    <w:rsid w:val="00F33F05"/>
    <w:rsid w:val="00FB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8311E-0F9D-4A36-82CF-80A6C785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CE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7CEC"/>
    <w:pPr>
      <w:ind w:left="720"/>
      <w:contextualSpacing/>
    </w:pPr>
  </w:style>
  <w:style w:type="paragraph" w:styleId="BalloonText">
    <w:name w:val="Balloon Text"/>
    <w:basedOn w:val="Normal"/>
    <w:link w:val="BalloonTextChar"/>
    <w:uiPriority w:val="99"/>
    <w:semiHidden/>
    <w:unhideWhenUsed/>
    <w:rsid w:val="00D02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B93"/>
    <w:rPr>
      <w:rFonts w:ascii="Tahoma" w:hAnsi="Tahoma" w:cs="Tahoma"/>
      <w:sz w:val="16"/>
      <w:szCs w:val="16"/>
    </w:rPr>
  </w:style>
  <w:style w:type="paragraph" w:styleId="Header">
    <w:name w:val="header"/>
    <w:basedOn w:val="Normal"/>
    <w:link w:val="HeaderChar"/>
    <w:uiPriority w:val="99"/>
    <w:unhideWhenUsed/>
    <w:rsid w:val="002D0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8A"/>
  </w:style>
  <w:style w:type="paragraph" w:styleId="Footer">
    <w:name w:val="footer"/>
    <w:basedOn w:val="Normal"/>
    <w:link w:val="FooterChar"/>
    <w:uiPriority w:val="99"/>
    <w:unhideWhenUsed/>
    <w:rsid w:val="002D0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8A"/>
  </w:style>
  <w:style w:type="character" w:styleId="Hyperlink">
    <w:name w:val="Hyperlink"/>
    <w:basedOn w:val="DefaultParagraphFont"/>
    <w:uiPriority w:val="99"/>
    <w:unhideWhenUsed/>
    <w:rsid w:val="008E7DA9"/>
    <w:rPr>
      <w:color w:val="0000FF" w:themeColor="hyperlink"/>
      <w:u w:val="single"/>
    </w:rPr>
  </w:style>
  <w:style w:type="character" w:styleId="FollowedHyperlink">
    <w:name w:val="FollowedHyperlink"/>
    <w:basedOn w:val="DefaultParagraphFont"/>
    <w:uiPriority w:val="99"/>
    <w:semiHidden/>
    <w:unhideWhenUsed/>
    <w:rsid w:val="00B07DE7"/>
    <w:rPr>
      <w:color w:val="800080" w:themeColor="followedHyperlink"/>
      <w:u w:val="single"/>
    </w:rPr>
  </w:style>
  <w:style w:type="character" w:styleId="UnresolvedMention">
    <w:name w:val="Unresolved Mention"/>
    <w:basedOn w:val="DefaultParagraphFont"/>
    <w:uiPriority w:val="99"/>
    <w:semiHidden/>
    <w:unhideWhenUsed/>
    <w:rsid w:val="0053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marys.ac.uk/ctess/docs/assessment/assess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9ABC-A36D-4176-B3C6-190C2BDE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Tapia</dc:creator>
  <cp:lastModifiedBy>Kim Wright</cp:lastModifiedBy>
  <cp:revision>2</cp:revision>
  <cp:lastPrinted>2016-07-21T09:12:00Z</cp:lastPrinted>
  <dcterms:created xsi:type="dcterms:W3CDTF">2022-07-26T13:48:00Z</dcterms:created>
  <dcterms:modified xsi:type="dcterms:W3CDTF">2022-07-26T13:50:28Z</dcterms:modified>
  <dc:title>PhD studentship scheme - Code of Practice 2022</dc:title>
  <cp:keywords>
  </cp:keywords>
  <dc:subject>PhD Studentship Scheme Code of Practice 2022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