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CFA" w:rsidP="00113699" w:rsidRDefault="004B5DC2">
      <w:pPr>
        <w:pStyle w:val="Heading1"/>
        <w:rPr>
          <w:rFonts w:asciiTheme="minorHAnsi" w:hAnsiTheme="minorHAnsi" w:cstheme="minorHAnsi"/>
        </w:rPr>
      </w:pPr>
      <w:r>
        <w:rPr>
          <w:rFonts w:asciiTheme="minorHAnsi" w:hAnsiTheme="minorHAnsi" w:cstheme="minorHAnsi"/>
          <w:b w:val="0"/>
          <w:bCs w:val="0"/>
          <w:noProof/>
        </w:rPr>
        <w:drawing>
          <wp:inline distT="0" distB="0" distL="0" distR="0" wp14:anchorId="5731F66F" wp14:editId="4D0C34D4">
            <wp:extent cx="1866900" cy="1011655"/>
            <wp:effectExtent l="0" t="0" r="0" b="0"/>
            <wp:docPr id="1" name="Picture 1" descr="C:\Users\04535\AppData\Local\Microsoft\Windows\INetCache\Content.MSO\B1BBDD9.tmp">
              <a:extLst xmlns:a="http://schemas.openxmlformats.org/drawingml/2006/main">
                <a:ext uri="{FF2B5EF4-FFF2-40B4-BE49-F238E27FC236}">
                  <a16:creationId xmlns:a16="http://schemas.microsoft.com/office/drawing/2014/main" id="{1503DC64-6778-493A-B79A-B885244EA5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535\AppData\Local\Microsoft\Windows\INetCache\Content.MSO\B1BBDD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49" cy="1025445"/>
                    </a:xfrm>
                    <a:prstGeom prst="rect">
                      <a:avLst/>
                    </a:prstGeom>
                    <a:noFill/>
                    <a:ln>
                      <a:noFill/>
                    </a:ln>
                  </pic:spPr>
                </pic:pic>
              </a:graphicData>
            </a:graphic>
          </wp:inline>
        </w:drawing>
      </w:r>
    </w:p>
    <w:p w:rsidR="00553578" w:rsidP="5067F743" w:rsidRDefault="00553578">
      <w:pPr>
        <w:pStyle w:val="Heading2"/>
        <w:rPr>
          <w:rFonts w:asciiTheme="minorHAnsi" w:hAnsiTheme="minorHAnsi" w:cstheme="minorBidi"/>
        </w:rPr>
      </w:pPr>
    </w:p>
    <w:p w:rsidR="5067F743" w:rsidP="5067F743" w:rsidRDefault="006345C4">
      <w:pPr>
        <w:pStyle w:val="Heading2"/>
        <w:rPr>
          <w:rFonts w:asciiTheme="minorHAnsi" w:hAnsiTheme="minorHAnsi" w:cstheme="minorBidi"/>
        </w:rPr>
      </w:pPr>
      <w:r w:rsidRPr="5067F743">
        <w:rPr>
          <w:rFonts w:asciiTheme="minorHAnsi" w:hAnsiTheme="minorHAnsi" w:cstheme="minorBidi"/>
        </w:rPr>
        <w:t>St Mary’s University Policy on Admission with Advanced Standing</w:t>
      </w:r>
    </w:p>
    <w:p w:rsidR="5067F743" w:rsidP="5067F743" w:rsidRDefault="006345C4">
      <w:pPr>
        <w:pStyle w:val="Heading3"/>
        <w:rPr>
          <w:rFonts w:asciiTheme="minorHAnsi" w:hAnsiTheme="minorHAnsi" w:cstheme="minorBidi"/>
          <w:sz w:val="22"/>
          <w:szCs w:val="22"/>
        </w:rPr>
      </w:pPr>
      <w:r w:rsidRPr="5067F743">
        <w:rPr>
          <w:rFonts w:asciiTheme="minorHAnsi" w:hAnsiTheme="minorHAnsi" w:cstheme="minorBidi"/>
          <w:sz w:val="22"/>
          <w:szCs w:val="22"/>
        </w:rPr>
        <w:t>1. Purpose</w:t>
      </w:r>
    </w:p>
    <w:p w:rsidR="5067F743" w:rsidP="5067F743" w:rsidRDefault="006345C4">
      <w:pPr>
        <w:pStyle w:val="NormalWeb"/>
        <w:rPr>
          <w:rFonts w:asciiTheme="minorHAnsi" w:hAnsiTheme="minorHAnsi" w:cstheme="minorBidi"/>
          <w:sz w:val="22"/>
          <w:szCs w:val="22"/>
        </w:rPr>
      </w:pPr>
      <w:r w:rsidRPr="5067F743">
        <w:rPr>
          <w:rFonts w:asciiTheme="minorHAnsi" w:hAnsiTheme="minorHAnsi" w:cstheme="minorBidi"/>
          <w:sz w:val="22"/>
          <w:szCs w:val="22"/>
        </w:rPr>
        <w:t>This policy explains how St Mary’s University admits students with advanced standing. In line with the UK Quality Assurance Agency (QAA) Quality Code for Higher Education, the University recognises prior learning where it is equivalent in academic level, credit volume, content, and learning outcomes to parts of its programmes.</w:t>
      </w:r>
    </w:p>
    <w:p w:rsidR="5067F743" w:rsidP="5067F743" w:rsidRDefault="006345C4">
      <w:pPr>
        <w:pStyle w:val="Heading3"/>
        <w:rPr>
          <w:rFonts w:asciiTheme="minorHAnsi" w:hAnsiTheme="minorHAnsi" w:cstheme="minorBidi"/>
          <w:sz w:val="22"/>
          <w:szCs w:val="22"/>
        </w:rPr>
      </w:pPr>
      <w:r w:rsidRPr="5067F743">
        <w:rPr>
          <w:rFonts w:asciiTheme="minorHAnsi" w:hAnsiTheme="minorHAnsi" w:cstheme="minorBidi"/>
          <w:sz w:val="22"/>
          <w:szCs w:val="22"/>
        </w:rPr>
        <w:t>2. Scope</w:t>
      </w:r>
    </w:p>
    <w:p w:rsidR="5067F743" w:rsidP="5067F743" w:rsidRDefault="006345C4">
      <w:pPr>
        <w:pStyle w:val="NormalWeb"/>
        <w:rPr>
          <w:rFonts w:asciiTheme="minorHAnsi" w:hAnsiTheme="minorHAnsi" w:cstheme="minorBidi"/>
          <w:sz w:val="22"/>
          <w:szCs w:val="22"/>
        </w:rPr>
      </w:pPr>
      <w:r w:rsidRPr="5067F743">
        <w:rPr>
          <w:rFonts w:asciiTheme="minorHAnsi" w:hAnsiTheme="minorHAnsi" w:cstheme="minorBidi"/>
          <w:sz w:val="22"/>
          <w:szCs w:val="22"/>
        </w:rPr>
        <w:t xml:space="preserve">This policy applies to all applicants seeking admission with advanced standing to undergraduate and postgraduate taught programmes at St Mary’s University. It should be read alongside the University’s </w:t>
      </w:r>
      <w:hyperlink w:history="1" r:id="rId9">
        <w:r w:rsidRPr="00553578">
          <w:rPr>
            <w:rStyle w:val="Hyperlink"/>
            <w:rFonts w:asciiTheme="minorHAnsi" w:hAnsiTheme="minorHAnsi" w:cstheme="minorBidi"/>
            <w:sz w:val="22"/>
            <w:szCs w:val="22"/>
          </w:rPr>
          <w:t>Academic Regulations</w:t>
        </w:r>
      </w:hyperlink>
      <w:r w:rsidRPr="5067F743">
        <w:rPr>
          <w:rFonts w:asciiTheme="minorHAnsi" w:hAnsiTheme="minorHAnsi" w:cstheme="minorBidi"/>
          <w:sz w:val="22"/>
          <w:szCs w:val="22"/>
        </w:rPr>
        <w:t xml:space="preserve"> and any programme-specific requirements.</w:t>
      </w:r>
    </w:p>
    <w:p w:rsidR="5067F743" w:rsidP="5067F743" w:rsidRDefault="006345C4">
      <w:pPr>
        <w:pStyle w:val="Heading3"/>
        <w:rPr>
          <w:rFonts w:asciiTheme="minorHAnsi" w:hAnsiTheme="minorHAnsi" w:cstheme="minorBidi"/>
          <w:sz w:val="22"/>
          <w:szCs w:val="22"/>
        </w:rPr>
      </w:pPr>
      <w:r w:rsidRPr="5067F743">
        <w:rPr>
          <w:rFonts w:asciiTheme="minorHAnsi" w:hAnsiTheme="minorHAnsi" w:cstheme="minorBidi"/>
          <w:sz w:val="22"/>
          <w:szCs w:val="22"/>
        </w:rPr>
        <w:t>3. Regulatory and Quality Framework</w:t>
      </w:r>
    </w:p>
    <w:p w:rsidRPr="004866A4" w:rsidR="006345C4" w:rsidP="006345C4" w:rsidRDefault="006345C4">
      <w:pPr>
        <w:pStyle w:val="NormalWeb"/>
        <w:rPr>
          <w:rFonts w:asciiTheme="minorHAnsi" w:hAnsiTheme="minorHAnsi" w:cstheme="minorHAnsi"/>
          <w:sz w:val="22"/>
          <w:szCs w:val="22"/>
        </w:rPr>
      </w:pPr>
      <w:r w:rsidRPr="004866A4">
        <w:rPr>
          <w:rFonts w:asciiTheme="minorHAnsi" w:hAnsiTheme="minorHAnsi" w:cstheme="minorHAnsi"/>
          <w:sz w:val="22"/>
          <w:szCs w:val="22"/>
        </w:rPr>
        <w:t>Admission with advanced standing is guided by the following frameworks and requirements:</w:t>
      </w:r>
    </w:p>
    <w:p w:rsidRPr="004866A4" w:rsidR="006345C4" w:rsidP="000B0CFA" w:rsidRDefault="006345C4">
      <w:pPr>
        <w:pStyle w:val="NormalWeb"/>
        <w:numPr>
          <w:ilvl w:val="0"/>
          <w:numId w:val="10"/>
        </w:numPr>
        <w:rPr>
          <w:rFonts w:asciiTheme="minorHAnsi" w:hAnsiTheme="minorHAnsi" w:cstheme="minorHAnsi"/>
          <w:sz w:val="22"/>
          <w:szCs w:val="22"/>
        </w:rPr>
      </w:pPr>
      <w:r w:rsidRPr="004866A4">
        <w:rPr>
          <w:rFonts w:asciiTheme="minorHAnsi" w:hAnsiTheme="minorHAnsi" w:cstheme="minorHAnsi"/>
          <w:sz w:val="22"/>
          <w:szCs w:val="22"/>
        </w:rPr>
        <w:t>The QAA Quality Code for Higher Education, including guidance on admissions, assessment, and recognition of prior learning</w:t>
      </w:r>
    </w:p>
    <w:p w:rsidRPr="004866A4" w:rsidR="006345C4" w:rsidP="000B0CFA" w:rsidRDefault="006345C4">
      <w:pPr>
        <w:pStyle w:val="NormalWeb"/>
        <w:numPr>
          <w:ilvl w:val="0"/>
          <w:numId w:val="10"/>
        </w:numPr>
        <w:rPr>
          <w:rFonts w:asciiTheme="minorHAnsi" w:hAnsiTheme="minorHAnsi" w:cstheme="minorHAnsi"/>
          <w:sz w:val="22"/>
          <w:szCs w:val="22"/>
        </w:rPr>
      </w:pPr>
      <w:r w:rsidRPr="004866A4">
        <w:rPr>
          <w:rFonts w:asciiTheme="minorHAnsi" w:hAnsiTheme="minorHAnsi" w:cstheme="minorHAnsi"/>
          <w:sz w:val="22"/>
          <w:szCs w:val="22"/>
        </w:rPr>
        <w:t>The Frameworks for Higher Education Qualifications of UK Degree-Awarding Bodies (FHEQ)</w:t>
      </w:r>
    </w:p>
    <w:p w:rsidR="006345C4" w:rsidP="000B0CFA" w:rsidRDefault="006345C4">
      <w:pPr>
        <w:pStyle w:val="NormalWeb"/>
        <w:numPr>
          <w:ilvl w:val="0"/>
          <w:numId w:val="10"/>
        </w:numPr>
        <w:rPr>
          <w:rFonts w:asciiTheme="minorHAnsi" w:hAnsiTheme="minorHAnsi" w:cstheme="minorBidi"/>
          <w:sz w:val="22"/>
          <w:szCs w:val="22"/>
        </w:rPr>
      </w:pPr>
      <w:r w:rsidRPr="5067F743">
        <w:rPr>
          <w:rFonts w:asciiTheme="minorHAnsi" w:hAnsiTheme="minorHAnsi" w:cstheme="minorBidi"/>
          <w:sz w:val="22"/>
          <w:szCs w:val="22"/>
        </w:rPr>
        <w:t>Relevant professional, statutory, and regulatory body (PSRB) requirements</w:t>
      </w:r>
    </w:p>
    <w:p w:rsidR="00EF6348" w:rsidP="00EF6348" w:rsidRDefault="00EF6348">
      <w:pPr>
        <w:pStyle w:val="Heading3"/>
        <w:rPr>
          <w:rFonts w:asciiTheme="minorHAnsi" w:hAnsiTheme="minorHAnsi" w:cstheme="minorBidi"/>
          <w:sz w:val="22"/>
          <w:szCs w:val="22"/>
        </w:rPr>
      </w:pPr>
      <w:r>
        <w:rPr>
          <w:rFonts w:asciiTheme="minorHAnsi" w:hAnsiTheme="minorHAnsi" w:cstheme="minorBidi"/>
          <w:sz w:val="22"/>
          <w:szCs w:val="22"/>
        </w:rPr>
        <w:t>4</w:t>
      </w:r>
      <w:r w:rsidRPr="5067F743">
        <w:rPr>
          <w:rFonts w:asciiTheme="minorHAnsi" w:hAnsiTheme="minorHAnsi" w:cstheme="minorBidi"/>
          <w:sz w:val="22"/>
          <w:szCs w:val="22"/>
        </w:rPr>
        <w:t>. Forms of Prior Learning Recognised</w:t>
      </w:r>
    </w:p>
    <w:p w:rsidR="00EF6348" w:rsidP="00EF6348" w:rsidRDefault="00EF6348">
      <w:pPr>
        <w:pStyle w:val="NormalWeb"/>
        <w:rPr>
          <w:rFonts w:asciiTheme="minorHAnsi" w:hAnsiTheme="minorHAnsi" w:cstheme="minorBidi"/>
          <w:sz w:val="22"/>
          <w:szCs w:val="22"/>
        </w:rPr>
      </w:pPr>
      <w:r w:rsidRPr="5067F743">
        <w:rPr>
          <w:rFonts w:asciiTheme="minorHAnsi" w:hAnsiTheme="minorHAnsi" w:cstheme="minorBidi"/>
          <w:sz w:val="22"/>
          <w:szCs w:val="22"/>
        </w:rPr>
        <w:t xml:space="preserve">St Mary’s University will consider the following types of Accredited Prior Learning (APL). This may also be referred to by some Higher Education Institutions as Recognised Prior Learning (RPL) </w:t>
      </w:r>
    </w:p>
    <w:p w:rsidR="00EF6348" w:rsidP="00EF6348" w:rsidRDefault="00EF6348">
      <w:pPr>
        <w:pStyle w:val="NormalWeb"/>
        <w:ind w:left="720"/>
        <w:rPr>
          <w:rFonts w:asciiTheme="minorHAnsi" w:hAnsiTheme="minorHAnsi" w:cstheme="minorBidi"/>
          <w:sz w:val="22"/>
          <w:szCs w:val="22"/>
        </w:rPr>
      </w:pPr>
      <w:r w:rsidRPr="5067F743">
        <w:rPr>
          <w:rStyle w:val="Strong"/>
          <w:rFonts w:asciiTheme="minorHAnsi" w:hAnsiTheme="minorHAnsi" w:cstheme="minorBidi"/>
          <w:sz w:val="22"/>
          <w:szCs w:val="22"/>
        </w:rPr>
        <w:t>4.1 Accreditation of Prior Learning (APL)</w:t>
      </w:r>
      <w:r>
        <w:br/>
      </w:r>
      <w:r w:rsidRPr="5067F743">
        <w:rPr>
          <w:rFonts w:asciiTheme="minorHAnsi" w:hAnsiTheme="minorHAnsi" w:cstheme="minorBidi"/>
          <w:sz w:val="22"/>
          <w:szCs w:val="22"/>
        </w:rPr>
        <w:t>Formally certificated higher education learning, including credits or qualifications awarded by UK or international institutions, mapped to the relevant FHEQ level</w:t>
      </w:r>
      <w:r>
        <w:rPr>
          <w:rFonts w:asciiTheme="minorHAnsi" w:hAnsiTheme="minorHAnsi" w:cstheme="minorBidi"/>
          <w:sz w:val="22"/>
          <w:szCs w:val="22"/>
        </w:rPr>
        <w:t xml:space="preserve"> and achieved within the previous five years only</w:t>
      </w:r>
      <w:r w:rsidRPr="5067F743">
        <w:rPr>
          <w:rFonts w:asciiTheme="minorHAnsi" w:hAnsiTheme="minorHAnsi" w:cstheme="minorBidi"/>
          <w:sz w:val="22"/>
          <w:szCs w:val="22"/>
        </w:rPr>
        <w:t>.</w:t>
      </w:r>
    </w:p>
    <w:p w:rsidR="00EF6348" w:rsidP="00EF6348" w:rsidRDefault="00EF6348">
      <w:pPr>
        <w:pStyle w:val="NormalWeb"/>
        <w:ind w:left="720"/>
        <w:rPr>
          <w:rFonts w:asciiTheme="minorHAnsi" w:hAnsiTheme="minorHAnsi" w:cstheme="minorBidi"/>
          <w:sz w:val="22"/>
          <w:szCs w:val="22"/>
        </w:rPr>
      </w:pPr>
      <w:r w:rsidRPr="5067F743">
        <w:rPr>
          <w:rStyle w:val="Strong"/>
          <w:rFonts w:asciiTheme="minorHAnsi" w:hAnsiTheme="minorHAnsi" w:cstheme="minorBidi"/>
          <w:sz w:val="22"/>
          <w:szCs w:val="22"/>
        </w:rPr>
        <w:t>4.2 Accreditation of Prior Experiential Learning (APEL)</w:t>
      </w:r>
      <w:r>
        <w:br/>
      </w:r>
      <w:r w:rsidRPr="5067F743">
        <w:rPr>
          <w:rFonts w:asciiTheme="minorHAnsi" w:hAnsiTheme="minorHAnsi" w:cstheme="minorBidi"/>
          <w:sz w:val="22"/>
          <w:szCs w:val="22"/>
        </w:rPr>
        <w:t xml:space="preserve">Learning gained through work, professional practice, or life experience that is not formally certificated, but assessed by the University against relevant learning outcomes. </w:t>
      </w:r>
      <w:r>
        <w:rPr>
          <w:rFonts w:asciiTheme="minorHAnsi" w:hAnsiTheme="minorHAnsi" w:cstheme="minorBidi"/>
          <w:sz w:val="22"/>
          <w:szCs w:val="22"/>
        </w:rPr>
        <w:t xml:space="preserve">Whilst there is no time limit on the suitability of the work experience presented, the </w:t>
      </w:r>
      <w:r w:rsidRPr="5067F743">
        <w:rPr>
          <w:rFonts w:asciiTheme="minorHAnsi" w:hAnsiTheme="minorHAnsi" w:cstheme="minorBidi"/>
          <w:sz w:val="22"/>
          <w:szCs w:val="22"/>
        </w:rPr>
        <w:t xml:space="preserve">student will be responsible for satisfying the </w:t>
      </w:r>
      <w:r w:rsidR="00675B68">
        <w:rPr>
          <w:rFonts w:asciiTheme="minorHAnsi" w:hAnsiTheme="minorHAnsi" w:cstheme="minorBidi"/>
          <w:sz w:val="22"/>
          <w:szCs w:val="22"/>
        </w:rPr>
        <w:t xml:space="preserve">relevant Admissions Manager </w:t>
      </w:r>
      <w:r w:rsidRPr="5067F743">
        <w:rPr>
          <w:rFonts w:asciiTheme="minorHAnsi" w:hAnsiTheme="minorHAnsi" w:cstheme="minorBidi"/>
          <w:sz w:val="22"/>
          <w:szCs w:val="22"/>
        </w:rPr>
        <w:t xml:space="preserve">and the Course Lead of their suitability for the course and will be asked to provide evidence to support their application.   </w:t>
      </w:r>
    </w:p>
    <w:p w:rsidR="00EF6348" w:rsidP="005D2121" w:rsidRDefault="00EF6348">
      <w:pPr>
        <w:pStyle w:val="NormalWeb"/>
        <w:ind w:left="720"/>
        <w:rPr>
          <w:rFonts w:asciiTheme="minorHAnsi" w:hAnsiTheme="minorHAnsi" w:cstheme="minorBidi"/>
          <w:sz w:val="22"/>
          <w:szCs w:val="22"/>
        </w:rPr>
      </w:pPr>
      <w:r w:rsidRPr="5067F743">
        <w:rPr>
          <w:rStyle w:val="Strong"/>
          <w:rFonts w:asciiTheme="minorHAnsi" w:hAnsiTheme="minorHAnsi" w:cstheme="minorBidi"/>
          <w:sz w:val="22"/>
          <w:szCs w:val="22"/>
        </w:rPr>
        <w:lastRenderedPageBreak/>
        <w:t>4.3 Credit Transfer</w:t>
      </w:r>
      <w:r>
        <w:br/>
      </w:r>
      <w:r w:rsidRPr="5067F743">
        <w:rPr>
          <w:rFonts w:asciiTheme="minorHAnsi" w:hAnsiTheme="minorHAnsi" w:cstheme="minorBidi"/>
          <w:sz w:val="22"/>
          <w:szCs w:val="22"/>
        </w:rPr>
        <w:t>Credit awarded by UK higher education institutions at the same academic level, in line with QAA guidance on credit accumulation and transfer. This would normally apply to Undergraduate students transferring directly into Levels 5 or 6 having successfully completed the preceding levels of study at another HEI</w:t>
      </w:r>
    </w:p>
    <w:p w:rsidR="000B0CFA" w:rsidP="000B0CFA" w:rsidRDefault="00EF6348">
      <w:pPr>
        <w:pStyle w:val="Heading3"/>
        <w:rPr>
          <w:rFonts w:asciiTheme="minorHAnsi" w:hAnsiTheme="minorHAnsi" w:cstheme="minorBidi"/>
          <w:sz w:val="22"/>
          <w:szCs w:val="22"/>
        </w:rPr>
      </w:pPr>
      <w:r>
        <w:rPr>
          <w:rFonts w:asciiTheme="minorHAnsi" w:hAnsiTheme="minorHAnsi" w:cstheme="minorBidi"/>
          <w:sz w:val="22"/>
          <w:szCs w:val="22"/>
        </w:rPr>
        <w:t>5</w:t>
      </w:r>
      <w:r w:rsidR="000B0CFA">
        <w:rPr>
          <w:rFonts w:asciiTheme="minorHAnsi" w:hAnsiTheme="minorHAnsi" w:cstheme="minorBidi"/>
          <w:sz w:val="22"/>
          <w:szCs w:val="22"/>
        </w:rPr>
        <w:t xml:space="preserve">. </w:t>
      </w:r>
      <w:r w:rsidRPr="5067F743" w:rsidR="000B0CFA">
        <w:rPr>
          <w:rFonts w:asciiTheme="minorHAnsi" w:hAnsiTheme="minorHAnsi" w:cstheme="minorBidi"/>
          <w:sz w:val="22"/>
          <w:szCs w:val="22"/>
        </w:rPr>
        <w:t>Admission with Advanced Standing</w:t>
      </w:r>
    </w:p>
    <w:p w:rsidR="000B0CFA" w:rsidP="000B0CFA" w:rsidRDefault="00EF6348">
      <w:pPr>
        <w:pStyle w:val="NormalWeb"/>
        <w:rPr>
          <w:rFonts w:asciiTheme="minorHAnsi" w:hAnsiTheme="minorHAnsi" w:cstheme="minorBidi"/>
          <w:sz w:val="22"/>
          <w:szCs w:val="22"/>
        </w:rPr>
      </w:pPr>
      <w:r>
        <w:rPr>
          <w:rFonts w:asciiTheme="minorHAnsi" w:hAnsiTheme="minorHAnsi" w:cstheme="minorBidi"/>
          <w:b/>
          <w:sz w:val="22"/>
          <w:szCs w:val="22"/>
        </w:rPr>
        <w:t>5</w:t>
      </w:r>
      <w:r w:rsidRPr="000B0CFA" w:rsidR="000B0CFA">
        <w:rPr>
          <w:rFonts w:asciiTheme="minorHAnsi" w:hAnsiTheme="minorHAnsi" w:cstheme="minorBidi"/>
          <w:b/>
          <w:sz w:val="22"/>
          <w:szCs w:val="22"/>
        </w:rPr>
        <w:t>.1</w:t>
      </w:r>
      <w:r w:rsidR="000B0CFA">
        <w:rPr>
          <w:rFonts w:asciiTheme="minorHAnsi" w:hAnsiTheme="minorHAnsi" w:cstheme="minorBidi"/>
          <w:sz w:val="22"/>
          <w:szCs w:val="22"/>
        </w:rPr>
        <w:t xml:space="preserve"> </w:t>
      </w:r>
      <w:r w:rsidRPr="5067F743" w:rsidR="000B0CFA">
        <w:rPr>
          <w:rFonts w:asciiTheme="minorHAnsi" w:hAnsiTheme="minorHAnsi" w:cstheme="minorBidi"/>
          <w:sz w:val="22"/>
          <w:szCs w:val="22"/>
        </w:rPr>
        <w:t>Admission with advanced standing allows applicants with relevant prior learning to enter a programme beyond the normal starting point and/or receive exemption from specific modules.</w:t>
      </w:r>
    </w:p>
    <w:p w:rsidR="00553578" w:rsidP="000B0CFA" w:rsidRDefault="00EF6348">
      <w:pPr>
        <w:pStyle w:val="NormalWeb"/>
        <w:rPr>
          <w:rFonts w:asciiTheme="minorHAnsi" w:hAnsiTheme="minorHAnsi" w:cstheme="minorBidi"/>
          <w:sz w:val="22"/>
          <w:szCs w:val="22"/>
        </w:rPr>
      </w:pPr>
      <w:r>
        <w:rPr>
          <w:rFonts w:asciiTheme="minorHAnsi" w:hAnsiTheme="minorHAnsi" w:cstheme="minorBidi"/>
          <w:b/>
          <w:sz w:val="22"/>
          <w:szCs w:val="22"/>
        </w:rPr>
        <w:t>5</w:t>
      </w:r>
      <w:r w:rsidRPr="000B0CFA" w:rsidR="000B0CFA">
        <w:rPr>
          <w:rFonts w:asciiTheme="minorHAnsi" w:hAnsiTheme="minorHAnsi" w:cstheme="minorBidi"/>
          <w:b/>
          <w:sz w:val="22"/>
          <w:szCs w:val="22"/>
        </w:rPr>
        <w:t>.2</w:t>
      </w:r>
      <w:r w:rsidR="000B0CFA">
        <w:rPr>
          <w:rFonts w:asciiTheme="minorHAnsi" w:hAnsiTheme="minorHAnsi" w:cstheme="minorBidi"/>
          <w:sz w:val="22"/>
          <w:szCs w:val="22"/>
        </w:rPr>
        <w:t xml:space="preserve"> </w:t>
      </w:r>
      <w:r w:rsidRPr="5067F743" w:rsidR="000B0CFA">
        <w:rPr>
          <w:rFonts w:asciiTheme="minorHAnsi" w:hAnsiTheme="minorHAnsi" w:cstheme="minorBidi"/>
          <w:sz w:val="22"/>
          <w:szCs w:val="22"/>
        </w:rPr>
        <w:t xml:space="preserve">Applicants must provide an official transcript showing credits gained on </w:t>
      </w:r>
      <w:r w:rsidR="00553578">
        <w:rPr>
          <w:rFonts w:asciiTheme="minorHAnsi" w:hAnsiTheme="minorHAnsi" w:cstheme="minorBidi"/>
          <w:sz w:val="22"/>
          <w:szCs w:val="22"/>
        </w:rPr>
        <w:t xml:space="preserve">any </w:t>
      </w:r>
      <w:r w:rsidRPr="5067F743" w:rsidR="000B0CFA">
        <w:rPr>
          <w:rFonts w:asciiTheme="minorHAnsi" w:hAnsiTheme="minorHAnsi" w:cstheme="minorBidi"/>
          <w:sz w:val="22"/>
          <w:szCs w:val="22"/>
        </w:rPr>
        <w:t xml:space="preserve">previous course, along with module outlines for </w:t>
      </w:r>
      <w:r w:rsidR="00553578">
        <w:rPr>
          <w:rFonts w:asciiTheme="minorHAnsi" w:hAnsiTheme="minorHAnsi" w:cstheme="minorBidi"/>
          <w:sz w:val="22"/>
          <w:szCs w:val="22"/>
        </w:rPr>
        <w:t xml:space="preserve">modules for </w:t>
      </w:r>
      <w:r w:rsidRPr="5067F743" w:rsidR="000B0CFA">
        <w:rPr>
          <w:rFonts w:asciiTheme="minorHAnsi" w:hAnsiTheme="minorHAnsi" w:cstheme="minorBidi"/>
          <w:sz w:val="22"/>
          <w:szCs w:val="22"/>
        </w:rPr>
        <w:t xml:space="preserve">which exemption is requested. Applications will be assessed by the </w:t>
      </w:r>
      <w:r w:rsidR="00675B68">
        <w:rPr>
          <w:rFonts w:asciiTheme="minorHAnsi" w:hAnsiTheme="minorHAnsi" w:cstheme="minorBidi"/>
          <w:sz w:val="22"/>
          <w:szCs w:val="22"/>
        </w:rPr>
        <w:t xml:space="preserve">relevant Admissions Manager </w:t>
      </w:r>
      <w:r w:rsidRPr="5067F743" w:rsidR="000B0CFA">
        <w:rPr>
          <w:rFonts w:asciiTheme="minorHAnsi" w:hAnsiTheme="minorHAnsi" w:cstheme="minorBidi"/>
          <w:sz w:val="22"/>
          <w:szCs w:val="22"/>
        </w:rPr>
        <w:t xml:space="preserve">and the Course Lead for the course the student wishes to join. </w:t>
      </w:r>
    </w:p>
    <w:p w:rsidR="00553578" w:rsidP="000B0CFA" w:rsidRDefault="000B0CFA">
      <w:pPr>
        <w:pStyle w:val="NormalWeb"/>
        <w:rPr>
          <w:rFonts w:asciiTheme="minorHAnsi" w:hAnsiTheme="minorHAnsi" w:cstheme="minorBidi"/>
          <w:sz w:val="22"/>
          <w:szCs w:val="22"/>
        </w:rPr>
      </w:pPr>
      <w:r w:rsidRPr="5067F743">
        <w:rPr>
          <w:rFonts w:asciiTheme="minorHAnsi" w:hAnsiTheme="minorHAnsi" w:cstheme="minorBidi"/>
          <w:sz w:val="22"/>
          <w:szCs w:val="22"/>
        </w:rPr>
        <w:t xml:space="preserve">The Course Lead will assess whether the prior learning matches the published learning outcomes as outlined in the relevant St Mary’s module or programme specifications. Once the Course Lead has ascertained that the required standards have been met, they should confirm their decision to apply APL to the </w:t>
      </w:r>
      <w:r w:rsidR="00675B68">
        <w:rPr>
          <w:rFonts w:asciiTheme="minorHAnsi" w:hAnsiTheme="minorHAnsi" w:cstheme="minorBidi"/>
          <w:sz w:val="22"/>
          <w:szCs w:val="22"/>
        </w:rPr>
        <w:t xml:space="preserve">relevant Admissions Manager </w:t>
      </w:r>
      <w:r w:rsidR="00553578">
        <w:rPr>
          <w:rFonts w:asciiTheme="minorHAnsi" w:hAnsiTheme="minorHAnsi" w:cstheme="minorBidi"/>
          <w:sz w:val="22"/>
          <w:szCs w:val="22"/>
        </w:rPr>
        <w:t>for entry onto the student record</w:t>
      </w:r>
      <w:r w:rsidRPr="5067F743">
        <w:rPr>
          <w:rFonts w:asciiTheme="minorHAnsi" w:hAnsiTheme="minorHAnsi" w:cstheme="minorBidi"/>
          <w:sz w:val="22"/>
          <w:szCs w:val="22"/>
        </w:rPr>
        <w:t>.</w:t>
      </w:r>
    </w:p>
    <w:p w:rsidR="000B0CFA" w:rsidP="000B0CFA" w:rsidRDefault="000B0CFA">
      <w:pPr>
        <w:pStyle w:val="NormalWeb"/>
        <w:rPr>
          <w:rFonts w:asciiTheme="minorHAnsi" w:hAnsiTheme="minorHAnsi" w:cstheme="minorBidi"/>
          <w:sz w:val="22"/>
          <w:szCs w:val="22"/>
        </w:rPr>
      </w:pPr>
      <w:r w:rsidRPr="5067F743">
        <w:rPr>
          <w:rFonts w:asciiTheme="minorHAnsi" w:hAnsiTheme="minorHAnsi" w:cstheme="minorBidi"/>
          <w:sz w:val="22"/>
          <w:szCs w:val="22"/>
        </w:rPr>
        <w:t xml:space="preserve"> Any </w:t>
      </w:r>
      <w:r w:rsidR="00553578">
        <w:rPr>
          <w:rFonts w:asciiTheme="minorHAnsi" w:hAnsiTheme="minorHAnsi" w:cstheme="minorBidi"/>
          <w:sz w:val="22"/>
          <w:szCs w:val="22"/>
        </w:rPr>
        <w:t xml:space="preserve">prior </w:t>
      </w:r>
      <w:r w:rsidRPr="5067F743">
        <w:rPr>
          <w:rFonts w:asciiTheme="minorHAnsi" w:hAnsiTheme="minorHAnsi" w:cstheme="minorBidi"/>
          <w:sz w:val="22"/>
          <w:szCs w:val="22"/>
        </w:rPr>
        <w:t xml:space="preserve">learning outcomes should be </w:t>
      </w:r>
      <w:r w:rsidR="00553578">
        <w:rPr>
          <w:rFonts w:asciiTheme="minorHAnsi" w:hAnsiTheme="minorHAnsi" w:cstheme="minorBidi"/>
          <w:sz w:val="22"/>
          <w:szCs w:val="22"/>
        </w:rPr>
        <w:t xml:space="preserve">deemed to be </w:t>
      </w:r>
      <w:r w:rsidRPr="5067F743">
        <w:rPr>
          <w:rFonts w:asciiTheme="minorHAnsi" w:hAnsiTheme="minorHAnsi" w:cstheme="minorBidi"/>
          <w:sz w:val="22"/>
          <w:szCs w:val="22"/>
        </w:rPr>
        <w:t xml:space="preserve">the same or at a higher level as those being </w:t>
      </w:r>
      <w:r w:rsidR="00553578">
        <w:rPr>
          <w:rFonts w:asciiTheme="minorHAnsi" w:hAnsiTheme="minorHAnsi" w:cstheme="minorBidi"/>
          <w:sz w:val="22"/>
          <w:szCs w:val="22"/>
        </w:rPr>
        <w:t xml:space="preserve">taught at </w:t>
      </w:r>
      <w:r w:rsidRPr="5067F743">
        <w:rPr>
          <w:rFonts w:asciiTheme="minorHAnsi" w:hAnsiTheme="minorHAnsi" w:cstheme="minorBidi"/>
          <w:sz w:val="22"/>
          <w:szCs w:val="22"/>
        </w:rPr>
        <w:t>St Mary’s</w:t>
      </w:r>
      <w:r w:rsidR="00553578">
        <w:rPr>
          <w:rFonts w:asciiTheme="minorHAnsi" w:hAnsiTheme="minorHAnsi" w:cstheme="minorBidi"/>
          <w:sz w:val="22"/>
          <w:szCs w:val="22"/>
        </w:rPr>
        <w:t xml:space="preserve"> University</w:t>
      </w:r>
      <w:r w:rsidRPr="5067F743">
        <w:rPr>
          <w:rFonts w:asciiTheme="minorHAnsi" w:hAnsiTheme="minorHAnsi" w:cstheme="minorBidi"/>
          <w:sz w:val="22"/>
          <w:szCs w:val="22"/>
        </w:rPr>
        <w:t>.</w:t>
      </w:r>
    </w:p>
    <w:p w:rsidR="000B0CFA" w:rsidP="000B0CFA" w:rsidRDefault="00EF6348">
      <w:pPr>
        <w:pStyle w:val="NormalWeb"/>
        <w:rPr>
          <w:rFonts w:asciiTheme="minorHAnsi" w:hAnsiTheme="minorHAnsi" w:cstheme="minorBidi"/>
          <w:sz w:val="22"/>
          <w:szCs w:val="22"/>
        </w:rPr>
      </w:pPr>
      <w:r>
        <w:rPr>
          <w:rFonts w:asciiTheme="minorHAnsi" w:hAnsiTheme="minorHAnsi" w:cstheme="minorBidi"/>
          <w:b/>
          <w:sz w:val="22"/>
          <w:szCs w:val="22"/>
        </w:rPr>
        <w:t>5</w:t>
      </w:r>
      <w:r w:rsidRPr="000B0CFA" w:rsidR="000B0CFA">
        <w:rPr>
          <w:rFonts w:asciiTheme="minorHAnsi" w:hAnsiTheme="minorHAnsi" w:cstheme="minorBidi"/>
          <w:b/>
          <w:sz w:val="22"/>
          <w:szCs w:val="22"/>
        </w:rPr>
        <w:t>.3</w:t>
      </w:r>
      <w:r w:rsidR="000B0CFA">
        <w:rPr>
          <w:rFonts w:asciiTheme="minorHAnsi" w:hAnsiTheme="minorHAnsi" w:cstheme="minorBidi"/>
          <w:sz w:val="22"/>
          <w:szCs w:val="22"/>
        </w:rPr>
        <w:t xml:space="preserve"> </w:t>
      </w:r>
      <w:r w:rsidRPr="5067F743" w:rsidR="000B0CFA">
        <w:rPr>
          <w:rFonts w:asciiTheme="minorHAnsi" w:hAnsiTheme="minorHAnsi" w:cstheme="minorBidi"/>
          <w:sz w:val="22"/>
          <w:szCs w:val="22"/>
        </w:rPr>
        <w:t>Where exemption is not approved</w:t>
      </w:r>
      <w:r w:rsidR="00A42D20">
        <w:rPr>
          <w:rFonts w:asciiTheme="minorHAnsi" w:hAnsiTheme="minorHAnsi" w:cstheme="minorBidi"/>
          <w:sz w:val="22"/>
          <w:szCs w:val="22"/>
        </w:rPr>
        <w:t xml:space="preserve"> by the Course Lead </w:t>
      </w:r>
      <w:r w:rsidR="00553578">
        <w:rPr>
          <w:rFonts w:asciiTheme="minorHAnsi" w:hAnsiTheme="minorHAnsi" w:cstheme="minorBidi"/>
          <w:sz w:val="22"/>
          <w:szCs w:val="22"/>
        </w:rPr>
        <w:t>as not meeting the correct requirements, or where the prior credits or qualification are deemed to be ‘</w:t>
      </w:r>
      <w:r w:rsidR="00A42D20">
        <w:rPr>
          <w:rFonts w:asciiTheme="minorHAnsi" w:hAnsiTheme="minorHAnsi" w:cstheme="minorBidi"/>
          <w:sz w:val="22"/>
          <w:szCs w:val="22"/>
        </w:rPr>
        <w:t xml:space="preserve">out of time’ (see 6.4) this </w:t>
      </w:r>
      <w:r w:rsidR="00553578">
        <w:rPr>
          <w:rFonts w:asciiTheme="minorHAnsi" w:hAnsiTheme="minorHAnsi" w:cstheme="minorBidi"/>
          <w:sz w:val="22"/>
          <w:szCs w:val="22"/>
        </w:rPr>
        <w:t xml:space="preserve">decision </w:t>
      </w:r>
      <w:r w:rsidR="00A42D20">
        <w:rPr>
          <w:rFonts w:asciiTheme="minorHAnsi" w:hAnsiTheme="minorHAnsi" w:cstheme="minorBidi"/>
          <w:sz w:val="22"/>
          <w:szCs w:val="22"/>
        </w:rPr>
        <w:t>will be commun</w:t>
      </w:r>
      <w:r w:rsidR="000B0CFA">
        <w:rPr>
          <w:rFonts w:asciiTheme="minorHAnsi" w:hAnsiTheme="minorHAnsi" w:cstheme="minorBidi"/>
          <w:sz w:val="22"/>
          <w:szCs w:val="22"/>
        </w:rPr>
        <w:t>icated to the applicant</w:t>
      </w:r>
      <w:r w:rsidR="00A42D20">
        <w:rPr>
          <w:rFonts w:asciiTheme="minorHAnsi" w:hAnsiTheme="minorHAnsi" w:cstheme="minorBidi"/>
          <w:sz w:val="22"/>
          <w:szCs w:val="22"/>
        </w:rPr>
        <w:t xml:space="preserve"> by the </w:t>
      </w:r>
      <w:r w:rsidR="00675B68">
        <w:rPr>
          <w:rFonts w:asciiTheme="minorHAnsi" w:hAnsiTheme="minorHAnsi" w:cstheme="minorBidi"/>
          <w:sz w:val="22"/>
          <w:szCs w:val="22"/>
        </w:rPr>
        <w:t xml:space="preserve">relevant </w:t>
      </w:r>
      <w:r w:rsidR="00A42D20">
        <w:rPr>
          <w:rFonts w:asciiTheme="minorHAnsi" w:hAnsiTheme="minorHAnsi" w:cstheme="minorBidi"/>
          <w:sz w:val="22"/>
          <w:szCs w:val="22"/>
        </w:rPr>
        <w:t>Admissions</w:t>
      </w:r>
      <w:r w:rsidR="00675B68">
        <w:rPr>
          <w:rFonts w:asciiTheme="minorHAnsi" w:hAnsiTheme="minorHAnsi" w:cstheme="minorBidi"/>
          <w:sz w:val="22"/>
          <w:szCs w:val="22"/>
        </w:rPr>
        <w:t xml:space="preserve"> Manager</w:t>
      </w:r>
      <w:r w:rsidR="00A42D20">
        <w:rPr>
          <w:rFonts w:asciiTheme="minorHAnsi" w:hAnsiTheme="minorHAnsi" w:cstheme="minorBidi"/>
          <w:sz w:val="22"/>
          <w:szCs w:val="22"/>
        </w:rPr>
        <w:t xml:space="preserve">. </w:t>
      </w:r>
      <w:r w:rsidR="00553578">
        <w:rPr>
          <w:rFonts w:asciiTheme="minorHAnsi" w:hAnsiTheme="minorHAnsi" w:cstheme="minorBidi"/>
          <w:sz w:val="22"/>
          <w:szCs w:val="22"/>
        </w:rPr>
        <w:t xml:space="preserve"> This decision </w:t>
      </w:r>
      <w:r w:rsidR="00BC3061">
        <w:rPr>
          <w:rFonts w:asciiTheme="minorHAnsi" w:hAnsiTheme="minorHAnsi" w:cstheme="minorBidi"/>
          <w:sz w:val="22"/>
          <w:szCs w:val="22"/>
        </w:rPr>
        <w:t xml:space="preserve">should be considered as final </w:t>
      </w:r>
      <w:r w:rsidR="00553578">
        <w:rPr>
          <w:rFonts w:asciiTheme="minorHAnsi" w:hAnsiTheme="minorHAnsi" w:cstheme="minorBidi"/>
          <w:sz w:val="22"/>
          <w:szCs w:val="22"/>
        </w:rPr>
        <w:t xml:space="preserve">unless </w:t>
      </w:r>
      <w:r w:rsidR="00BC3061">
        <w:rPr>
          <w:rFonts w:asciiTheme="minorHAnsi" w:hAnsiTheme="minorHAnsi" w:cstheme="minorBidi"/>
          <w:sz w:val="22"/>
          <w:szCs w:val="22"/>
        </w:rPr>
        <w:t xml:space="preserve">any new information can be provided to the Course Lead which may lead them to review their original decision.  The </w:t>
      </w:r>
      <w:r w:rsidR="00675B68">
        <w:rPr>
          <w:rFonts w:asciiTheme="minorHAnsi" w:hAnsiTheme="minorHAnsi" w:cstheme="minorBidi"/>
          <w:sz w:val="22"/>
          <w:szCs w:val="22"/>
        </w:rPr>
        <w:t xml:space="preserve">relevant </w:t>
      </w:r>
      <w:r w:rsidR="00BC3061">
        <w:rPr>
          <w:rFonts w:asciiTheme="minorHAnsi" w:hAnsiTheme="minorHAnsi" w:cstheme="minorBidi"/>
          <w:sz w:val="22"/>
          <w:szCs w:val="22"/>
        </w:rPr>
        <w:t xml:space="preserve">Admissions </w:t>
      </w:r>
      <w:r w:rsidR="00675B68">
        <w:rPr>
          <w:rFonts w:asciiTheme="minorHAnsi" w:hAnsiTheme="minorHAnsi" w:cstheme="minorBidi"/>
          <w:sz w:val="22"/>
          <w:szCs w:val="22"/>
        </w:rPr>
        <w:t xml:space="preserve">Manager </w:t>
      </w:r>
      <w:r w:rsidR="00BC3061">
        <w:rPr>
          <w:rFonts w:asciiTheme="minorHAnsi" w:hAnsiTheme="minorHAnsi" w:cstheme="minorBidi"/>
          <w:sz w:val="22"/>
          <w:szCs w:val="22"/>
        </w:rPr>
        <w:t xml:space="preserve">will then notify any change of outcome to the applicant.  </w:t>
      </w:r>
    </w:p>
    <w:p w:rsidR="00B71D2F" w:rsidP="000B0CFA" w:rsidRDefault="00B71D2F">
      <w:pPr>
        <w:pStyle w:val="NormalWeb"/>
        <w:rPr>
          <w:rFonts w:asciiTheme="minorHAnsi" w:hAnsiTheme="minorHAnsi" w:cstheme="minorBidi"/>
          <w:sz w:val="22"/>
          <w:szCs w:val="22"/>
        </w:rPr>
      </w:pPr>
      <w:r w:rsidRPr="00B71D2F">
        <w:rPr>
          <w:rFonts w:asciiTheme="minorHAnsi" w:hAnsiTheme="minorHAnsi" w:cstheme="minorBidi"/>
          <w:b/>
          <w:sz w:val="22"/>
          <w:szCs w:val="22"/>
        </w:rPr>
        <w:t>5.4</w:t>
      </w:r>
      <w:r>
        <w:rPr>
          <w:rFonts w:asciiTheme="minorHAnsi" w:hAnsiTheme="minorHAnsi" w:cstheme="minorBidi"/>
          <w:sz w:val="22"/>
          <w:szCs w:val="22"/>
        </w:rPr>
        <w:t xml:space="preserve"> Students applying to join the degree of Doctor of Philosophy (PhD) or Professional Doctorate (Prof Doc) may be eligible to apply for the transfer of prior credit.  This decision is undertaken by the St Mary’s University Research department and subject to Regulations for Research degrees. </w:t>
      </w:r>
    </w:p>
    <w:p w:rsidRPr="00675B68" w:rsidR="00675B68" w:rsidP="000B0CFA" w:rsidRDefault="00675B68">
      <w:pPr>
        <w:pStyle w:val="NormalWeb"/>
        <w:rPr>
          <w:rFonts w:ascii="Calibri" w:hAnsi="Calibri" w:cs="Calibri"/>
          <w:sz w:val="22"/>
          <w:szCs w:val="22"/>
        </w:rPr>
      </w:pPr>
      <w:r w:rsidRPr="00675B68">
        <w:rPr>
          <w:rFonts w:asciiTheme="minorHAnsi" w:hAnsiTheme="minorHAnsi" w:cstheme="minorBidi"/>
          <w:b/>
          <w:sz w:val="22"/>
          <w:szCs w:val="22"/>
        </w:rPr>
        <w:t>5.</w:t>
      </w:r>
      <w:r w:rsidR="00B71D2F">
        <w:rPr>
          <w:rFonts w:asciiTheme="minorHAnsi" w:hAnsiTheme="minorHAnsi" w:cstheme="minorBidi"/>
          <w:b/>
          <w:sz w:val="22"/>
          <w:szCs w:val="22"/>
        </w:rPr>
        <w:t>5</w:t>
      </w:r>
      <w:r>
        <w:rPr>
          <w:rFonts w:asciiTheme="minorHAnsi" w:hAnsiTheme="minorHAnsi" w:cstheme="minorBidi"/>
          <w:sz w:val="22"/>
          <w:szCs w:val="22"/>
        </w:rPr>
        <w:t xml:space="preserve"> </w:t>
      </w:r>
      <w:r w:rsidRPr="00675B68">
        <w:rPr>
          <w:rFonts w:ascii="Calibri" w:hAnsi="Calibri" w:cs="Calibri"/>
          <w:sz w:val="22"/>
          <w:szCs w:val="22"/>
        </w:rPr>
        <w:t>This policy does not apply to entrants to the St Mary’s School of Medicine.  No</w:t>
      </w:r>
      <w:r w:rsidRPr="00675B68">
        <w:rPr>
          <w:rFonts w:ascii="Calibri" w:hAnsi="Calibri" w:cs="Calibri"/>
          <w:sz w:val="22"/>
          <w:szCs w:val="22"/>
          <w:lang w:eastAsia="en-US"/>
        </w:rPr>
        <w:t xml:space="preserve"> advanced standing, Accreditation of Prior learning (APL) or inter-school transfers are permitted into the MBBS</w:t>
      </w:r>
    </w:p>
    <w:p w:rsidR="2C954254" w:rsidP="5067F743" w:rsidRDefault="2C954254">
      <w:pPr>
        <w:pStyle w:val="NormalWeb"/>
        <w:rPr>
          <w:rFonts w:asciiTheme="minorHAnsi" w:hAnsiTheme="minorHAnsi" w:cstheme="minorBidi"/>
          <w:b/>
          <w:bCs/>
          <w:sz w:val="22"/>
          <w:szCs w:val="22"/>
        </w:rPr>
      </w:pPr>
      <w:r w:rsidRPr="5067F743">
        <w:rPr>
          <w:rFonts w:asciiTheme="minorHAnsi" w:hAnsiTheme="minorHAnsi" w:cstheme="minorBidi"/>
          <w:b/>
          <w:bCs/>
          <w:sz w:val="22"/>
          <w:szCs w:val="22"/>
        </w:rPr>
        <w:t>6. Principles</w:t>
      </w:r>
    </w:p>
    <w:p w:rsidRPr="00D34C66" w:rsidR="2C954254" w:rsidP="5067F743" w:rsidRDefault="2C954254">
      <w:pPr>
        <w:pStyle w:val="NormalWeb"/>
        <w:rPr>
          <w:rFonts w:asciiTheme="minorHAnsi" w:hAnsiTheme="minorHAnsi" w:cstheme="minorHAnsi"/>
          <w:sz w:val="22"/>
          <w:szCs w:val="22"/>
        </w:rPr>
      </w:pPr>
      <w:r w:rsidRPr="00D34C66">
        <w:rPr>
          <w:rFonts w:asciiTheme="minorHAnsi" w:hAnsiTheme="minorHAnsi" w:cstheme="minorHAnsi"/>
          <w:sz w:val="22"/>
          <w:szCs w:val="22"/>
        </w:rPr>
        <w:t xml:space="preserve">In accordance with QAA guidance, the University applies the following </w:t>
      </w:r>
      <w:r w:rsidR="00D34C66">
        <w:rPr>
          <w:rFonts w:asciiTheme="minorHAnsi" w:hAnsiTheme="minorHAnsi" w:cstheme="minorHAnsi"/>
          <w:sz w:val="22"/>
          <w:szCs w:val="22"/>
        </w:rPr>
        <w:t xml:space="preserve">overarching </w:t>
      </w:r>
      <w:r w:rsidRPr="00D34C66">
        <w:rPr>
          <w:rFonts w:asciiTheme="minorHAnsi" w:hAnsiTheme="minorHAnsi" w:cstheme="minorHAnsi"/>
          <w:sz w:val="22"/>
          <w:szCs w:val="22"/>
        </w:rPr>
        <w:t>principles:</w:t>
      </w:r>
    </w:p>
    <w:p w:rsidRPr="00D34C66" w:rsidR="2C954254" w:rsidP="5067F743" w:rsidRDefault="2C954254">
      <w:pPr>
        <w:pStyle w:val="NormalWeb"/>
        <w:numPr>
          <w:ilvl w:val="0"/>
          <w:numId w:val="3"/>
        </w:numPr>
        <w:rPr>
          <w:rFonts w:asciiTheme="minorHAnsi" w:hAnsiTheme="minorHAnsi" w:cstheme="minorHAnsi"/>
          <w:sz w:val="22"/>
          <w:szCs w:val="22"/>
        </w:rPr>
      </w:pPr>
      <w:r w:rsidRPr="00D34C66">
        <w:rPr>
          <w:rFonts w:asciiTheme="minorHAnsi" w:hAnsiTheme="minorHAnsi" w:cstheme="minorHAnsi"/>
          <w:sz w:val="22"/>
          <w:szCs w:val="22"/>
        </w:rPr>
        <w:t>Decisions are based on learning achieved, not on where or how the learning took place</w:t>
      </w:r>
    </w:p>
    <w:p w:rsidRPr="00D34C66" w:rsidR="2C954254" w:rsidP="5067F743" w:rsidRDefault="2C954254">
      <w:pPr>
        <w:pStyle w:val="NormalWeb"/>
        <w:numPr>
          <w:ilvl w:val="0"/>
          <w:numId w:val="3"/>
        </w:numPr>
        <w:rPr>
          <w:rFonts w:asciiTheme="minorHAnsi" w:hAnsiTheme="minorHAnsi" w:cstheme="minorHAnsi"/>
          <w:sz w:val="22"/>
          <w:szCs w:val="22"/>
        </w:rPr>
      </w:pPr>
      <w:r w:rsidRPr="00D34C66">
        <w:rPr>
          <w:rFonts w:asciiTheme="minorHAnsi" w:hAnsiTheme="minorHAnsi" w:cstheme="minorHAnsi"/>
          <w:sz w:val="22"/>
          <w:szCs w:val="22"/>
        </w:rPr>
        <w:t>Prior learning is assessed against academic standards and course learning outcomes</w:t>
      </w:r>
    </w:p>
    <w:p w:rsidRPr="00D34C66" w:rsidR="2C954254" w:rsidP="5067F743" w:rsidRDefault="2C954254">
      <w:pPr>
        <w:pStyle w:val="NormalWeb"/>
        <w:numPr>
          <w:ilvl w:val="0"/>
          <w:numId w:val="3"/>
        </w:numPr>
        <w:rPr>
          <w:rFonts w:asciiTheme="minorHAnsi" w:hAnsiTheme="minorHAnsi" w:cstheme="minorHAnsi"/>
          <w:sz w:val="22"/>
          <w:szCs w:val="22"/>
        </w:rPr>
      </w:pPr>
      <w:r w:rsidRPr="00D34C66">
        <w:rPr>
          <w:rFonts w:asciiTheme="minorHAnsi" w:hAnsiTheme="minorHAnsi" w:cstheme="minorHAnsi"/>
          <w:sz w:val="22"/>
          <w:szCs w:val="22"/>
        </w:rPr>
        <w:t>Processes are transparent, consistent, and fair</w:t>
      </w:r>
    </w:p>
    <w:p w:rsidRPr="00D34C66" w:rsidR="5067F743" w:rsidP="5067F743" w:rsidRDefault="2C954254">
      <w:pPr>
        <w:pStyle w:val="NormalWeb"/>
        <w:numPr>
          <w:ilvl w:val="0"/>
          <w:numId w:val="3"/>
        </w:numPr>
        <w:rPr>
          <w:rFonts w:asciiTheme="minorHAnsi" w:hAnsiTheme="minorHAnsi" w:cstheme="minorHAnsi"/>
          <w:sz w:val="22"/>
          <w:szCs w:val="22"/>
        </w:rPr>
      </w:pPr>
      <w:r w:rsidRPr="00D34C66">
        <w:rPr>
          <w:rFonts w:asciiTheme="minorHAnsi" w:hAnsiTheme="minorHAnsi" w:cstheme="minorHAnsi"/>
          <w:sz w:val="22"/>
          <w:szCs w:val="22"/>
        </w:rPr>
        <w:t>Credit is awarded only where clear equivalence can be demonstrat</w:t>
      </w:r>
      <w:r w:rsidRPr="00D34C66" w:rsidR="000B0CFA">
        <w:rPr>
          <w:rFonts w:asciiTheme="minorHAnsi" w:hAnsiTheme="minorHAnsi" w:cstheme="minorHAnsi"/>
          <w:sz w:val="22"/>
          <w:szCs w:val="22"/>
        </w:rPr>
        <w:t>ed</w:t>
      </w:r>
    </w:p>
    <w:p w:rsidRPr="00D34C66" w:rsidR="7FFA4E11" w:rsidP="5067F743" w:rsidRDefault="00D34C66">
      <w:pPr>
        <w:pStyle w:val="NormalWeb"/>
        <w:rPr>
          <w:rFonts w:asciiTheme="minorHAnsi" w:hAnsiTheme="minorHAnsi" w:cstheme="minorHAnsi"/>
          <w:sz w:val="22"/>
          <w:szCs w:val="22"/>
        </w:rPr>
      </w:pPr>
      <w:r w:rsidRPr="00D34C66">
        <w:rPr>
          <w:rFonts w:asciiTheme="minorHAnsi" w:hAnsiTheme="minorHAnsi" w:cstheme="minorHAnsi"/>
          <w:b/>
          <w:sz w:val="22"/>
          <w:szCs w:val="22"/>
        </w:rPr>
        <w:t>6.1</w:t>
      </w:r>
      <w:r w:rsidRPr="00D34C66">
        <w:rPr>
          <w:rFonts w:asciiTheme="minorHAnsi" w:hAnsiTheme="minorHAnsi" w:cstheme="minorHAnsi"/>
        </w:rPr>
        <w:t xml:space="preserve"> </w:t>
      </w:r>
      <w:r w:rsidRPr="00D34C66" w:rsidR="7FFA4E11">
        <w:rPr>
          <w:rFonts w:asciiTheme="minorHAnsi" w:hAnsiTheme="minorHAnsi" w:cstheme="minorHAnsi"/>
        </w:rPr>
        <w:t>For UG programmes</w:t>
      </w:r>
      <w:r w:rsidR="00BC3061">
        <w:rPr>
          <w:rFonts w:asciiTheme="minorHAnsi" w:hAnsiTheme="minorHAnsi" w:cstheme="minorHAnsi"/>
        </w:rPr>
        <w:t>,</w:t>
      </w:r>
      <w:r w:rsidRPr="00D34C66" w:rsidR="7FFA4E11">
        <w:rPr>
          <w:rFonts w:asciiTheme="minorHAnsi" w:hAnsiTheme="minorHAnsi" w:cstheme="minorHAnsi"/>
        </w:rPr>
        <w:t xml:space="preserve"> </w:t>
      </w:r>
      <w:r w:rsidR="00BC3061">
        <w:rPr>
          <w:rFonts w:asciiTheme="minorHAnsi" w:hAnsiTheme="minorHAnsi" w:cstheme="minorHAnsi"/>
        </w:rPr>
        <w:t xml:space="preserve">applicants </w:t>
      </w:r>
      <w:r w:rsidRPr="00D34C66" w:rsidR="7FFA4E11">
        <w:rPr>
          <w:rFonts w:asciiTheme="minorHAnsi" w:hAnsiTheme="minorHAnsi" w:cstheme="minorHAnsi"/>
          <w:sz w:val="22"/>
          <w:szCs w:val="22"/>
        </w:rPr>
        <w:t xml:space="preserve">who have only partially completed previous years </w:t>
      </w:r>
      <w:r w:rsidRPr="00D34C66">
        <w:rPr>
          <w:rFonts w:asciiTheme="minorHAnsi" w:hAnsiTheme="minorHAnsi" w:cstheme="minorHAnsi"/>
          <w:sz w:val="22"/>
          <w:szCs w:val="22"/>
        </w:rPr>
        <w:t>of study</w:t>
      </w:r>
      <w:r w:rsidRPr="00D34C66" w:rsidR="7FFA4E11">
        <w:rPr>
          <w:rFonts w:asciiTheme="minorHAnsi" w:hAnsiTheme="minorHAnsi" w:cstheme="minorHAnsi"/>
          <w:sz w:val="22"/>
          <w:szCs w:val="22"/>
        </w:rPr>
        <w:t xml:space="preserve"> will not usually be granted admittance unless at the discretion of the Course Lead and the </w:t>
      </w:r>
      <w:r w:rsidR="00675B68">
        <w:rPr>
          <w:rFonts w:asciiTheme="minorHAnsi" w:hAnsiTheme="minorHAnsi" w:cstheme="minorHAnsi"/>
          <w:sz w:val="22"/>
          <w:szCs w:val="22"/>
        </w:rPr>
        <w:t>Relevant Admissions Manager</w:t>
      </w:r>
      <w:r w:rsidRPr="00D34C66" w:rsidR="7FFA4E11">
        <w:rPr>
          <w:rFonts w:asciiTheme="minorHAnsi" w:hAnsiTheme="minorHAnsi" w:cstheme="minorHAnsi"/>
          <w:sz w:val="22"/>
          <w:szCs w:val="22"/>
        </w:rPr>
        <w:t xml:space="preserve">. </w:t>
      </w:r>
      <w:r w:rsidRPr="00D34C66" w:rsidR="00BC3061">
        <w:rPr>
          <w:rFonts w:asciiTheme="minorHAnsi" w:hAnsiTheme="minorHAnsi" w:cstheme="minorHAnsi"/>
          <w:sz w:val="22"/>
          <w:szCs w:val="22"/>
        </w:rPr>
        <w:t xml:space="preserve">In </w:t>
      </w:r>
      <w:r w:rsidR="00BC3061">
        <w:rPr>
          <w:rFonts w:asciiTheme="minorHAnsi" w:hAnsiTheme="minorHAnsi" w:cstheme="minorHAnsi"/>
          <w:sz w:val="22"/>
          <w:szCs w:val="22"/>
        </w:rPr>
        <w:t xml:space="preserve">such </w:t>
      </w:r>
      <w:r w:rsidRPr="00D34C66" w:rsidR="00BC3061">
        <w:rPr>
          <w:rFonts w:asciiTheme="minorHAnsi" w:hAnsiTheme="minorHAnsi" w:cstheme="minorHAnsi"/>
          <w:sz w:val="22"/>
          <w:szCs w:val="22"/>
        </w:rPr>
        <w:t>cases students will be expected to complete any missing credits</w:t>
      </w:r>
      <w:r w:rsidR="00BC3061">
        <w:rPr>
          <w:rFonts w:asciiTheme="minorHAnsi" w:hAnsiTheme="minorHAnsi" w:cstheme="minorHAnsi"/>
          <w:sz w:val="22"/>
          <w:szCs w:val="22"/>
        </w:rPr>
        <w:t xml:space="preserve"> at St Mary’s University. </w:t>
      </w:r>
      <w:r w:rsidR="00FA3819">
        <w:rPr>
          <w:rFonts w:asciiTheme="minorHAnsi" w:hAnsiTheme="minorHAnsi" w:cstheme="minorHAnsi"/>
          <w:sz w:val="22"/>
          <w:szCs w:val="22"/>
        </w:rPr>
        <w:t xml:space="preserve"> See 7.1.</w:t>
      </w:r>
      <w:r w:rsidR="00BC3061">
        <w:rPr>
          <w:rFonts w:asciiTheme="minorHAnsi" w:hAnsiTheme="minorHAnsi" w:cstheme="minorHAnsi"/>
          <w:sz w:val="22"/>
          <w:szCs w:val="22"/>
        </w:rPr>
        <w:t xml:space="preserve"> </w:t>
      </w:r>
    </w:p>
    <w:p w:rsidRPr="00D34C66" w:rsidR="7FFA4E11" w:rsidP="5067F743" w:rsidRDefault="00D34C66">
      <w:pPr>
        <w:pStyle w:val="NormalWeb"/>
        <w:rPr>
          <w:rFonts w:asciiTheme="minorHAnsi" w:hAnsiTheme="minorHAnsi" w:cstheme="minorHAnsi"/>
          <w:sz w:val="22"/>
          <w:szCs w:val="22"/>
        </w:rPr>
      </w:pPr>
      <w:r w:rsidRPr="00D34C66">
        <w:rPr>
          <w:rFonts w:asciiTheme="minorHAnsi" w:hAnsiTheme="minorHAnsi" w:cstheme="minorHAnsi"/>
          <w:b/>
          <w:sz w:val="22"/>
          <w:szCs w:val="22"/>
        </w:rPr>
        <w:t>6.2</w:t>
      </w:r>
      <w:r>
        <w:rPr>
          <w:rFonts w:asciiTheme="minorHAnsi" w:hAnsiTheme="minorHAnsi" w:cstheme="minorHAnsi"/>
          <w:sz w:val="22"/>
          <w:szCs w:val="22"/>
        </w:rPr>
        <w:t xml:space="preserve"> </w:t>
      </w:r>
      <w:r w:rsidRPr="00D34C66" w:rsidR="7FFA4E11">
        <w:rPr>
          <w:rFonts w:asciiTheme="minorHAnsi" w:hAnsiTheme="minorHAnsi" w:cstheme="minorHAnsi"/>
          <w:sz w:val="22"/>
          <w:szCs w:val="22"/>
        </w:rPr>
        <w:t xml:space="preserve">For PGT programmes, exemptions apply only to taught modules; the dissertation or equivalent independent project must normally be completed at St Mary’s University. </w:t>
      </w:r>
    </w:p>
    <w:p w:rsidR="00A42D20" w:rsidP="5067F743" w:rsidRDefault="00D34C66">
      <w:pPr>
        <w:pStyle w:val="NormalWeb"/>
        <w:rPr>
          <w:rFonts w:asciiTheme="minorHAnsi" w:hAnsiTheme="minorHAnsi" w:cstheme="minorHAnsi"/>
          <w:sz w:val="22"/>
          <w:szCs w:val="22"/>
        </w:rPr>
      </w:pPr>
      <w:r w:rsidRPr="00D34C66">
        <w:rPr>
          <w:rFonts w:asciiTheme="minorHAnsi" w:hAnsiTheme="minorHAnsi" w:cstheme="minorHAnsi"/>
          <w:b/>
          <w:sz w:val="22"/>
          <w:szCs w:val="22"/>
        </w:rPr>
        <w:lastRenderedPageBreak/>
        <w:t>6.3</w:t>
      </w:r>
      <w:r>
        <w:rPr>
          <w:rFonts w:asciiTheme="minorHAnsi" w:hAnsiTheme="minorHAnsi" w:cstheme="minorHAnsi"/>
          <w:sz w:val="22"/>
          <w:szCs w:val="22"/>
        </w:rPr>
        <w:t xml:space="preserve"> </w:t>
      </w:r>
      <w:r w:rsidRPr="00D34C66" w:rsidR="000B0CFA">
        <w:rPr>
          <w:rFonts w:asciiTheme="minorHAnsi" w:hAnsiTheme="minorHAnsi" w:cstheme="minorHAnsi"/>
          <w:sz w:val="22"/>
          <w:szCs w:val="22"/>
        </w:rPr>
        <w:t>E</w:t>
      </w:r>
      <w:r w:rsidRPr="00D34C66" w:rsidR="7FFA4E11">
        <w:rPr>
          <w:rFonts w:asciiTheme="minorHAnsi" w:hAnsiTheme="minorHAnsi" w:cstheme="minorHAnsi"/>
          <w:sz w:val="22"/>
          <w:szCs w:val="22"/>
        </w:rPr>
        <w:t>xemptions may be granted for whole modules only.</w:t>
      </w:r>
    </w:p>
    <w:p w:rsidR="00A42D20" w:rsidP="5067F743" w:rsidRDefault="00A42D20">
      <w:pPr>
        <w:pStyle w:val="NormalWeb"/>
        <w:rPr>
          <w:rFonts w:asciiTheme="minorHAnsi" w:hAnsiTheme="minorHAnsi" w:cstheme="minorHAnsi"/>
          <w:sz w:val="22"/>
          <w:szCs w:val="22"/>
        </w:rPr>
      </w:pPr>
      <w:r w:rsidRPr="00A42D20">
        <w:rPr>
          <w:rFonts w:asciiTheme="minorHAnsi" w:hAnsiTheme="minorHAnsi" w:cstheme="minorHAnsi"/>
          <w:b/>
          <w:sz w:val="22"/>
          <w:szCs w:val="22"/>
        </w:rPr>
        <w:t>6.4</w:t>
      </w:r>
      <w:r>
        <w:rPr>
          <w:rFonts w:asciiTheme="minorHAnsi" w:hAnsiTheme="minorHAnsi" w:cstheme="minorHAnsi"/>
          <w:sz w:val="22"/>
          <w:szCs w:val="22"/>
        </w:rPr>
        <w:t xml:space="preserve"> </w:t>
      </w:r>
      <w:r w:rsidRPr="00D34C66" w:rsidR="7FFA4E11">
        <w:rPr>
          <w:rFonts w:asciiTheme="minorHAnsi" w:hAnsiTheme="minorHAnsi" w:cstheme="minorHAnsi"/>
          <w:sz w:val="22"/>
          <w:szCs w:val="22"/>
        </w:rPr>
        <w:t xml:space="preserve">APL or exemptions will only be awarded for study completed within the last five years. The date the student started the module </w:t>
      </w:r>
      <w:r>
        <w:rPr>
          <w:rFonts w:asciiTheme="minorHAnsi" w:hAnsiTheme="minorHAnsi" w:cstheme="minorHAnsi"/>
          <w:sz w:val="22"/>
          <w:szCs w:val="22"/>
        </w:rPr>
        <w:t xml:space="preserve">applied for as an exemption will be </w:t>
      </w:r>
      <w:r w:rsidRPr="00D34C66" w:rsidR="7FFA4E11">
        <w:rPr>
          <w:rFonts w:asciiTheme="minorHAnsi" w:hAnsiTheme="minorHAnsi" w:cstheme="minorHAnsi"/>
          <w:sz w:val="22"/>
          <w:szCs w:val="22"/>
        </w:rPr>
        <w:t xml:space="preserve">considered </w:t>
      </w:r>
      <w:r>
        <w:rPr>
          <w:rFonts w:asciiTheme="minorHAnsi" w:hAnsiTheme="minorHAnsi" w:cstheme="minorHAnsi"/>
          <w:sz w:val="22"/>
          <w:szCs w:val="22"/>
        </w:rPr>
        <w:t>to be the</w:t>
      </w:r>
      <w:r w:rsidR="00FA3819">
        <w:rPr>
          <w:rFonts w:asciiTheme="minorHAnsi" w:hAnsiTheme="minorHAnsi" w:cstheme="minorHAnsi"/>
          <w:sz w:val="22"/>
          <w:szCs w:val="22"/>
        </w:rPr>
        <w:t xml:space="preserve"> commencement date of the </w:t>
      </w:r>
      <w:r w:rsidRPr="00D34C66" w:rsidR="7FFA4E11">
        <w:rPr>
          <w:rFonts w:asciiTheme="minorHAnsi" w:hAnsiTheme="minorHAnsi" w:cstheme="minorHAnsi"/>
          <w:sz w:val="22"/>
          <w:szCs w:val="22"/>
        </w:rPr>
        <w:t xml:space="preserve">maximum time period. </w:t>
      </w:r>
    </w:p>
    <w:p w:rsidRPr="00D34C66" w:rsidR="5067F743" w:rsidP="5067F743" w:rsidRDefault="00FA3819">
      <w:pPr>
        <w:pStyle w:val="NormalWeb"/>
        <w:rPr>
          <w:rFonts w:asciiTheme="minorHAnsi" w:hAnsiTheme="minorHAnsi" w:cstheme="minorHAnsi"/>
          <w:sz w:val="22"/>
          <w:szCs w:val="22"/>
        </w:rPr>
      </w:pPr>
      <w:r w:rsidRPr="00A42D20">
        <w:rPr>
          <w:rFonts w:asciiTheme="minorHAnsi" w:hAnsiTheme="minorHAnsi" w:cstheme="minorHAnsi"/>
          <w:b/>
          <w:sz w:val="22"/>
          <w:szCs w:val="22"/>
        </w:rPr>
        <w:t>6.5</w:t>
      </w:r>
      <w:r>
        <w:rPr>
          <w:rFonts w:asciiTheme="minorHAnsi" w:hAnsiTheme="minorHAnsi" w:cstheme="minorHAnsi"/>
          <w:sz w:val="22"/>
          <w:szCs w:val="22"/>
        </w:rPr>
        <w:t xml:space="preserve"> </w:t>
      </w:r>
      <w:r w:rsidRPr="00D34C66">
        <w:rPr>
          <w:rFonts w:asciiTheme="minorHAnsi" w:hAnsiTheme="minorHAnsi" w:cstheme="minorHAnsi"/>
          <w:sz w:val="22"/>
          <w:szCs w:val="22"/>
        </w:rPr>
        <w:t>Where</w:t>
      </w:r>
      <w:r w:rsidRPr="00D34C66" w:rsidR="7FFA4E11">
        <w:rPr>
          <w:rFonts w:asciiTheme="minorHAnsi" w:hAnsiTheme="minorHAnsi" w:cstheme="minorHAnsi"/>
          <w:sz w:val="22"/>
          <w:szCs w:val="22"/>
        </w:rPr>
        <w:t xml:space="preserve"> PSRB requirements do not permit credit transfer, any request to do so will be declined by the University</w:t>
      </w:r>
    </w:p>
    <w:p w:rsidRPr="004866A4" w:rsidR="006345C4" w:rsidP="5067F743" w:rsidRDefault="00937F7E">
      <w:pPr>
        <w:pStyle w:val="Heading3"/>
        <w:rPr>
          <w:rFonts w:asciiTheme="minorHAnsi" w:hAnsiTheme="minorHAnsi" w:cstheme="minorBidi"/>
          <w:sz w:val="22"/>
          <w:szCs w:val="22"/>
        </w:rPr>
      </w:pPr>
      <w:r w:rsidRPr="5067F743">
        <w:rPr>
          <w:rFonts w:asciiTheme="minorHAnsi" w:hAnsiTheme="minorHAnsi" w:cstheme="minorBidi"/>
          <w:sz w:val="22"/>
          <w:szCs w:val="22"/>
        </w:rPr>
        <w:t>7</w:t>
      </w:r>
      <w:r w:rsidRPr="5067F743" w:rsidR="006345C4">
        <w:rPr>
          <w:rFonts w:asciiTheme="minorHAnsi" w:hAnsiTheme="minorHAnsi" w:cstheme="minorBidi"/>
          <w:sz w:val="22"/>
          <w:szCs w:val="22"/>
        </w:rPr>
        <w:t>. Undergraduate Admission with Advanced Standing</w:t>
      </w:r>
    </w:p>
    <w:p w:rsidR="23C9A812" w:rsidP="5067F743" w:rsidRDefault="23C9A812">
      <w:pPr>
        <w:pStyle w:val="Heading3"/>
        <w:rPr>
          <w:rFonts w:asciiTheme="minorHAnsi" w:hAnsiTheme="minorHAnsi" w:cstheme="minorBidi"/>
          <w:sz w:val="22"/>
          <w:szCs w:val="22"/>
        </w:rPr>
      </w:pPr>
      <w:r w:rsidRPr="5067F743">
        <w:rPr>
          <w:rFonts w:asciiTheme="minorHAnsi" w:hAnsiTheme="minorHAnsi" w:cstheme="minorBidi"/>
          <w:sz w:val="22"/>
          <w:szCs w:val="22"/>
        </w:rPr>
        <w:t xml:space="preserve">7.1 Eligibility and Assessment </w:t>
      </w:r>
    </w:p>
    <w:p w:rsidR="5067F743" w:rsidP="5067F743" w:rsidRDefault="006345C4">
      <w:pPr>
        <w:pStyle w:val="NormalWeb"/>
        <w:rPr>
          <w:rFonts w:asciiTheme="minorHAnsi" w:hAnsiTheme="minorHAnsi" w:cstheme="minorBidi"/>
          <w:sz w:val="22"/>
          <w:szCs w:val="22"/>
        </w:rPr>
      </w:pPr>
      <w:r w:rsidRPr="5067F743">
        <w:rPr>
          <w:rFonts w:asciiTheme="minorHAnsi" w:hAnsiTheme="minorHAnsi" w:cstheme="minorBidi"/>
          <w:sz w:val="22"/>
          <w:szCs w:val="22"/>
        </w:rPr>
        <w:t xml:space="preserve">Applicants </w:t>
      </w:r>
      <w:r w:rsidRPr="5067F743" w:rsidR="0ADC25D9">
        <w:rPr>
          <w:rFonts w:asciiTheme="minorHAnsi" w:hAnsiTheme="minorHAnsi" w:cstheme="minorBidi"/>
          <w:sz w:val="22"/>
          <w:szCs w:val="22"/>
        </w:rPr>
        <w:t xml:space="preserve">to Undergraduate courses </w:t>
      </w:r>
      <w:r w:rsidRPr="5067F743">
        <w:rPr>
          <w:rFonts w:asciiTheme="minorHAnsi" w:hAnsiTheme="minorHAnsi" w:cstheme="minorBidi"/>
          <w:sz w:val="22"/>
          <w:szCs w:val="22"/>
        </w:rPr>
        <w:t xml:space="preserve">may apply for advanced standing based on prior study or learning completed </w:t>
      </w:r>
      <w:r w:rsidRPr="5067F743" w:rsidR="4DEC3356">
        <w:rPr>
          <w:rFonts w:asciiTheme="minorHAnsi" w:hAnsiTheme="minorHAnsi" w:cstheme="minorBidi"/>
          <w:sz w:val="22"/>
          <w:szCs w:val="22"/>
        </w:rPr>
        <w:t>at anothe</w:t>
      </w:r>
      <w:r w:rsidRPr="5067F743" w:rsidR="5F831A85">
        <w:rPr>
          <w:rFonts w:asciiTheme="minorHAnsi" w:hAnsiTheme="minorHAnsi" w:cstheme="minorBidi"/>
          <w:sz w:val="22"/>
          <w:szCs w:val="22"/>
        </w:rPr>
        <w:t>r</w:t>
      </w:r>
      <w:r w:rsidRPr="5067F743" w:rsidR="4DEC3356">
        <w:rPr>
          <w:rFonts w:asciiTheme="minorHAnsi" w:hAnsiTheme="minorHAnsi" w:cstheme="minorBidi"/>
          <w:sz w:val="22"/>
          <w:szCs w:val="22"/>
        </w:rPr>
        <w:t xml:space="preserve"> </w:t>
      </w:r>
      <w:r w:rsidRPr="5067F743" w:rsidR="00D34C66">
        <w:rPr>
          <w:rFonts w:asciiTheme="minorHAnsi" w:hAnsiTheme="minorHAnsi" w:cstheme="minorBidi"/>
          <w:sz w:val="22"/>
          <w:szCs w:val="22"/>
        </w:rPr>
        <w:t>recognised Higher</w:t>
      </w:r>
      <w:r w:rsidRPr="5067F743" w:rsidR="4DEC3356">
        <w:rPr>
          <w:rFonts w:asciiTheme="minorHAnsi" w:hAnsiTheme="minorHAnsi" w:cstheme="minorBidi"/>
          <w:sz w:val="22"/>
          <w:szCs w:val="22"/>
        </w:rPr>
        <w:t xml:space="preserve"> Education </w:t>
      </w:r>
      <w:r w:rsidRPr="5067F743" w:rsidR="0755F29B">
        <w:rPr>
          <w:rFonts w:asciiTheme="minorHAnsi" w:hAnsiTheme="minorHAnsi" w:cstheme="minorBidi"/>
          <w:sz w:val="22"/>
          <w:szCs w:val="22"/>
        </w:rPr>
        <w:t>Institute</w:t>
      </w:r>
      <w:r w:rsidRPr="5067F743" w:rsidR="4DEC3356">
        <w:rPr>
          <w:rFonts w:asciiTheme="minorHAnsi" w:hAnsiTheme="minorHAnsi" w:cstheme="minorBidi"/>
          <w:sz w:val="22"/>
          <w:szCs w:val="22"/>
        </w:rPr>
        <w:t xml:space="preserve"> or </w:t>
      </w:r>
      <w:r w:rsidRPr="5067F743">
        <w:rPr>
          <w:rFonts w:asciiTheme="minorHAnsi" w:hAnsiTheme="minorHAnsi" w:cstheme="minorBidi"/>
          <w:sz w:val="22"/>
          <w:szCs w:val="22"/>
        </w:rPr>
        <w:t>previously at St Mary’s University</w:t>
      </w:r>
      <w:r w:rsidRPr="5067F743" w:rsidR="7E803C89">
        <w:rPr>
          <w:rFonts w:asciiTheme="minorHAnsi" w:hAnsiTheme="minorHAnsi" w:cstheme="minorBidi"/>
          <w:sz w:val="22"/>
          <w:szCs w:val="22"/>
        </w:rPr>
        <w:t xml:space="preserve"> on the basis of</w:t>
      </w:r>
      <w:r w:rsidRPr="5067F743" w:rsidR="4D57492B">
        <w:rPr>
          <w:rFonts w:asciiTheme="minorHAnsi" w:hAnsiTheme="minorHAnsi" w:cstheme="minorBidi"/>
          <w:sz w:val="22"/>
          <w:szCs w:val="22"/>
        </w:rPr>
        <w:t xml:space="preserve"> </w:t>
      </w:r>
      <w:r w:rsidRPr="5067F743" w:rsidR="7E803C89">
        <w:rPr>
          <w:rFonts w:asciiTheme="minorHAnsi" w:hAnsiTheme="minorHAnsi" w:cstheme="minorBidi"/>
          <w:sz w:val="22"/>
          <w:szCs w:val="22"/>
        </w:rPr>
        <w:t>the fol</w:t>
      </w:r>
      <w:r w:rsidRPr="5067F743" w:rsidR="496BA9BD">
        <w:rPr>
          <w:rFonts w:asciiTheme="minorHAnsi" w:hAnsiTheme="minorHAnsi" w:cstheme="minorBidi"/>
          <w:sz w:val="22"/>
          <w:szCs w:val="22"/>
        </w:rPr>
        <w:t>lowing</w:t>
      </w:r>
      <w:r w:rsidRPr="5067F743" w:rsidR="7E803C89">
        <w:rPr>
          <w:rFonts w:asciiTheme="minorHAnsi" w:hAnsiTheme="minorHAnsi" w:cstheme="minorBidi"/>
          <w:sz w:val="22"/>
          <w:szCs w:val="22"/>
        </w:rPr>
        <w:t xml:space="preserve">. </w:t>
      </w:r>
    </w:p>
    <w:p w:rsidR="469E0926" w:rsidP="00FA3819" w:rsidRDefault="469E0926">
      <w:pPr>
        <w:pStyle w:val="NormalWeb"/>
        <w:numPr>
          <w:ilvl w:val="0"/>
          <w:numId w:val="17"/>
        </w:numPr>
        <w:rPr>
          <w:rFonts w:asciiTheme="minorHAnsi" w:hAnsiTheme="minorHAnsi" w:cstheme="minorBidi"/>
          <w:sz w:val="22"/>
          <w:szCs w:val="22"/>
        </w:rPr>
      </w:pPr>
      <w:r w:rsidRPr="5067F743">
        <w:rPr>
          <w:rFonts w:asciiTheme="minorHAnsi" w:hAnsiTheme="minorHAnsi" w:cstheme="minorBidi"/>
          <w:sz w:val="22"/>
          <w:szCs w:val="22"/>
        </w:rPr>
        <w:t xml:space="preserve">Students entering FHEQ Level 4 </w:t>
      </w:r>
      <w:r w:rsidRPr="5067F743" w:rsidR="00D34C66">
        <w:rPr>
          <w:rFonts w:asciiTheme="minorHAnsi" w:hAnsiTheme="minorHAnsi" w:cstheme="minorBidi"/>
          <w:sz w:val="22"/>
          <w:szCs w:val="22"/>
        </w:rPr>
        <w:t>having taken</w:t>
      </w:r>
      <w:r w:rsidRPr="5067F743">
        <w:rPr>
          <w:rFonts w:asciiTheme="minorHAnsi" w:hAnsiTheme="minorHAnsi" w:cstheme="minorBidi"/>
          <w:sz w:val="22"/>
          <w:szCs w:val="22"/>
        </w:rPr>
        <w:t xml:space="preserve"> a FHEQ Level 3 Foundation year </w:t>
      </w:r>
      <w:r w:rsidRPr="5067F743" w:rsidR="68AC74D0">
        <w:rPr>
          <w:rFonts w:asciiTheme="minorHAnsi" w:hAnsiTheme="minorHAnsi" w:cstheme="minorBidi"/>
          <w:sz w:val="22"/>
          <w:szCs w:val="22"/>
        </w:rPr>
        <w:t>should have a total of 120 credits at Level 3.</w:t>
      </w:r>
    </w:p>
    <w:p w:rsidRPr="004866A4" w:rsidR="006345C4" w:rsidP="00FA3819" w:rsidRDefault="4D09887D">
      <w:pPr>
        <w:pStyle w:val="NormalWeb"/>
        <w:numPr>
          <w:ilvl w:val="0"/>
          <w:numId w:val="17"/>
        </w:numPr>
        <w:rPr>
          <w:rFonts w:asciiTheme="minorHAnsi" w:hAnsiTheme="minorHAnsi" w:cstheme="minorBidi"/>
          <w:sz w:val="22"/>
          <w:szCs w:val="22"/>
          <w:vertAlign w:val="superscript"/>
        </w:rPr>
      </w:pPr>
      <w:r w:rsidRPr="5067F743">
        <w:rPr>
          <w:rFonts w:asciiTheme="minorHAnsi" w:hAnsiTheme="minorHAnsi" w:cstheme="minorBidi"/>
          <w:sz w:val="22"/>
          <w:szCs w:val="22"/>
        </w:rPr>
        <w:t xml:space="preserve">Students entering FHEQ Level 5 should have achieved </w:t>
      </w:r>
      <w:r w:rsidRPr="5067F743" w:rsidR="3E9810DC">
        <w:rPr>
          <w:rFonts w:asciiTheme="minorHAnsi" w:hAnsiTheme="minorHAnsi" w:cstheme="minorBidi"/>
          <w:sz w:val="22"/>
          <w:szCs w:val="22"/>
        </w:rPr>
        <w:t xml:space="preserve">a total </w:t>
      </w:r>
      <w:r w:rsidRPr="5067F743">
        <w:rPr>
          <w:rFonts w:asciiTheme="minorHAnsi" w:hAnsiTheme="minorHAnsi" w:cstheme="minorBidi"/>
          <w:sz w:val="22"/>
          <w:szCs w:val="22"/>
        </w:rPr>
        <w:t xml:space="preserve">120 credits </w:t>
      </w:r>
      <w:r w:rsidRPr="5067F743" w:rsidR="1E914129">
        <w:rPr>
          <w:rFonts w:asciiTheme="minorHAnsi" w:hAnsiTheme="minorHAnsi" w:cstheme="minorBidi"/>
          <w:sz w:val="22"/>
          <w:szCs w:val="22"/>
        </w:rPr>
        <w:t>at FHEQ Level 4</w:t>
      </w:r>
      <w:r w:rsidR="00FA3819">
        <w:rPr>
          <w:rFonts w:asciiTheme="minorHAnsi" w:hAnsiTheme="minorHAnsi" w:cstheme="minorBidi"/>
          <w:sz w:val="22"/>
          <w:szCs w:val="22"/>
        </w:rPr>
        <w:t xml:space="preserve">. Entry may be permitted by exception where students have achieved a total of 100 prior credits at FHEQ Level </w:t>
      </w:r>
      <w:proofErr w:type="gramStart"/>
      <w:r w:rsidR="00FA3819">
        <w:rPr>
          <w:rFonts w:asciiTheme="minorHAnsi" w:hAnsiTheme="minorHAnsi" w:cstheme="minorBidi"/>
          <w:sz w:val="22"/>
          <w:szCs w:val="22"/>
        </w:rPr>
        <w:t>4..</w:t>
      </w:r>
      <w:proofErr w:type="gramEnd"/>
      <w:r w:rsidR="00FA3819">
        <w:rPr>
          <w:rFonts w:asciiTheme="minorHAnsi" w:hAnsiTheme="minorHAnsi" w:cstheme="minorBidi"/>
          <w:sz w:val="22"/>
          <w:szCs w:val="22"/>
        </w:rPr>
        <w:t xml:space="preserve">  </w:t>
      </w:r>
    </w:p>
    <w:p w:rsidR="006345C4" w:rsidP="00FA3819" w:rsidRDefault="76DB0F2F">
      <w:pPr>
        <w:pStyle w:val="NormalWeb"/>
        <w:numPr>
          <w:ilvl w:val="0"/>
          <w:numId w:val="17"/>
        </w:numPr>
        <w:rPr>
          <w:rFonts w:asciiTheme="minorHAnsi" w:hAnsiTheme="minorHAnsi" w:cstheme="minorBidi"/>
          <w:sz w:val="22"/>
          <w:szCs w:val="22"/>
        </w:rPr>
      </w:pPr>
      <w:r w:rsidRPr="5067F743">
        <w:rPr>
          <w:rFonts w:asciiTheme="minorHAnsi" w:hAnsiTheme="minorHAnsi" w:cstheme="minorBidi"/>
          <w:sz w:val="22"/>
          <w:szCs w:val="22"/>
        </w:rPr>
        <w:t>S</w:t>
      </w:r>
      <w:r w:rsidRPr="5067F743" w:rsidR="06E8D508">
        <w:rPr>
          <w:rFonts w:asciiTheme="minorHAnsi" w:hAnsiTheme="minorHAnsi" w:cstheme="minorBidi"/>
          <w:sz w:val="22"/>
          <w:szCs w:val="22"/>
        </w:rPr>
        <w:t xml:space="preserve">tudents entering FHEQ Level 6 should have achieved a total of 240 credits </w:t>
      </w:r>
      <w:r w:rsidRPr="5067F743" w:rsidR="11C53B6B">
        <w:rPr>
          <w:rFonts w:asciiTheme="minorHAnsi" w:hAnsiTheme="minorHAnsi" w:cstheme="minorBidi"/>
          <w:sz w:val="22"/>
          <w:szCs w:val="22"/>
        </w:rPr>
        <w:t>at FHEQ Levels 4 and 5.</w:t>
      </w:r>
      <w:r w:rsidR="00FA3819">
        <w:rPr>
          <w:rFonts w:asciiTheme="minorHAnsi" w:hAnsiTheme="minorHAnsi" w:cstheme="minorBidi"/>
          <w:sz w:val="22"/>
          <w:szCs w:val="22"/>
        </w:rPr>
        <w:t xml:space="preserve"> Entry may be permitted by exception where students have achieved a total of 100 prior credits at FHEQ Level 5.</w:t>
      </w:r>
    </w:p>
    <w:p w:rsidRPr="000B0CFA" w:rsidR="00A55540" w:rsidP="00FA3819" w:rsidRDefault="00A55540">
      <w:pPr>
        <w:pStyle w:val="NormalWeb"/>
        <w:numPr>
          <w:ilvl w:val="0"/>
          <w:numId w:val="17"/>
        </w:numPr>
        <w:rPr>
          <w:rFonts w:asciiTheme="minorHAnsi" w:hAnsiTheme="minorHAnsi" w:cstheme="minorBidi"/>
          <w:sz w:val="22"/>
          <w:szCs w:val="22"/>
        </w:rPr>
      </w:pPr>
      <w:r>
        <w:rPr>
          <w:rFonts w:asciiTheme="minorHAnsi" w:hAnsiTheme="minorHAnsi" w:cstheme="minorBidi"/>
          <w:sz w:val="22"/>
          <w:szCs w:val="22"/>
        </w:rPr>
        <w:t xml:space="preserve">Where students have completed a Foundation Year at Level 3, these credits will also be counted in addition to those listed above.  </w:t>
      </w:r>
    </w:p>
    <w:p w:rsidRPr="004866A4" w:rsidR="006345C4" w:rsidP="006345C4" w:rsidRDefault="006345C4">
      <w:pPr>
        <w:pStyle w:val="Heading3"/>
        <w:rPr>
          <w:rFonts w:asciiTheme="minorHAnsi" w:hAnsiTheme="minorHAnsi" w:cstheme="minorHAnsi"/>
          <w:sz w:val="22"/>
          <w:szCs w:val="22"/>
        </w:rPr>
      </w:pPr>
      <w:r w:rsidRPr="004866A4">
        <w:rPr>
          <w:rFonts w:asciiTheme="minorHAnsi" w:hAnsiTheme="minorHAnsi" w:cstheme="minorHAnsi"/>
          <w:sz w:val="22"/>
          <w:szCs w:val="22"/>
        </w:rPr>
        <w:t>8. Postgraduate Admission with Advanced Standing</w:t>
      </w:r>
    </w:p>
    <w:p w:rsidR="00D34C66" w:rsidP="5067F743" w:rsidRDefault="006345C4">
      <w:pPr>
        <w:pStyle w:val="NormalWeb"/>
        <w:rPr>
          <w:rStyle w:val="Strong"/>
          <w:rFonts w:asciiTheme="minorHAnsi" w:hAnsiTheme="minorHAnsi" w:cstheme="minorBidi"/>
          <w:sz w:val="22"/>
          <w:szCs w:val="22"/>
        </w:rPr>
      </w:pPr>
      <w:r w:rsidRPr="5067F743">
        <w:rPr>
          <w:rStyle w:val="Strong"/>
          <w:rFonts w:asciiTheme="minorHAnsi" w:hAnsiTheme="minorHAnsi" w:cstheme="minorBidi"/>
          <w:sz w:val="22"/>
          <w:szCs w:val="22"/>
        </w:rPr>
        <w:t>8.1 Eligibility and Assessment</w:t>
      </w:r>
    </w:p>
    <w:p w:rsidRPr="00D34C66" w:rsidR="006345C4" w:rsidP="5067F743" w:rsidRDefault="006345C4">
      <w:pPr>
        <w:pStyle w:val="NormalWeb"/>
        <w:rPr>
          <w:rFonts w:asciiTheme="minorHAnsi" w:hAnsiTheme="minorHAnsi" w:cstheme="minorBidi"/>
          <w:b/>
          <w:bCs/>
          <w:sz w:val="22"/>
          <w:szCs w:val="22"/>
        </w:rPr>
      </w:pPr>
      <w:r w:rsidRPr="5067F743">
        <w:rPr>
          <w:rFonts w:asciiTheme="minorHAnsi" w:hAnsiTheme="minorHAnsi" w:cstheme="minorBidi"/>
          <w:sz w:val="22"/>
          <w:szCs w:val="22"/>
        </w:rPr>
        <w:t>Applications for recognition of prior certificated or experiential learning for entry to Master’s or other postgraduate programmes are assessed by the Admissions Team, with academic advice from the Course Lead. Prior learning must meet learning outcomes at FHEQ Level 7.</w:t>
      </w:r>
    </w:p>
    <w:p w:rsidR="000B0CFA" w:rsidP="5067F743" w:rsidRDefault="006345C4">
      <w:pPr>
        <w:pStyle w:val="NormalWeb"/>
        <w:rPr>
          <w:rStyle w:val="Strong"/>
          <w:rFonts w:asciiTheme="minorHAnsi" w:hAnsiTheme="minorHAnsi" w:cstheme="minorBidi"/>
          <w:sz w:val="22"/>
          <w:szCs w:val="22"/>
        </w:rPr>
      </w:pPr>
      <w:r w:rsidRPr="5067F743">
        <w:rPr>
          <w:rStyle w:val="Strong"/>
          <w:rFonts w:asciiTheme="minorHAnsi" w:hAnsiTheme="minorHAnsi" w:cstheme="minorBidi"/>
          <w:sz w:val="22"/>
          <w:szCs w:val="22"/>
        </w:rPr>
        <w:t>8.2 Maximum Recognition of Prior Learning</w:t>
      </w:r>
    </w:p>
    <w:p w:rsidRPr="004866A4" w:rsidR="006345C4" w:rsidP="5067F743" w:rsidRDefault="006345C4">
      <w:pPr>
        <w:pStyle w:val="NormalWeb"/>
        <w:rPr>
          <w:rFonts w:asciiTheme="minorHAnsi" w:hAnsiTheme="minorHAnsi" w:cstheme="minorBidi"/>
          <w:sz w:val="22"/>
          <w:szCs w:val="22"/>
        </w:rPr>
      </w:pPr>
      <w:r w:rsidRPr="5067F743">
        <w:rPr>
          <w:rFonts w:asciiTheme="minorHAnsi" w:hAnsiTheme="minorHAnsi" w:cstheme="minorBidi"/>
          <w:sz w:val="22"/>
          <w:szCs w:val="22"/>
        </w:rPr>
        <w:t>The maximum amount of recognised prior learning permitted is:</w:t>
      </w:r>
    </w:p>
    <w:p w:rsidRPr="004866A4" w:rsidR="006345C4" w:rsidP="006345C4" w:rsidRDefault="006345C4">
      <w:pPr>
        <w:pStyle w:val="NormalWeb"/>
        <w:numPr>
          <w:ilvl w:val="0"/>
          <w:numId w:val="6"/>
        </w:numPr>
        <w:rPr>
          <w:rFonts w:asciiTheme="minorHAnsi" w:hAnsiTheme="minorHAnsi" w:cstheme="minorHAnsi"/>
          <w:sz w:val="22"/>
          <w:szCs w:val="22"/>
        </w:rPr>
      </w:pPr>
      <w:r w:rsidRPr="004866A4">
        <w:rPr>
          <w:rFonts w:asciiTheme="minorHAnsi" w:hAnsiTheme="minorHAnsi" w:cstheme="minorHAnsi"/>
          <w:sz w:val="22"/>
          <w:szCs w:val="22"/>
        </w:rPr>
        <w:t>Postgraduate Certificate: up to 30 credits</w:t>
      </w:r>
    </w:p>
    <w:p w:rsidRPr="004866A4" w:rsidR="006345C4" w:rsidP="006345C4" w:rsidRDefault="006345C4">
      <w:pPr>
        <w:pStyle w:val="NormalWeb"/>
        <w:numPr>
          <w:ilvl w:val="0"/>
          <w:numId w:val="6"/>
        </w:numPr>
        <w:rPr>
          <w:rFonts w:asciiTheme="minorHAnsi" w:hAnsiTheme="minorHAnsi" w:cstheme="minorHAnsi"/>
          <w:sz w:val="22"/>
          <w:szCs w:val="22"/>
        </w:rPr>
      </w:pPr>
      <w:r w:rsidRPr="004866A4">
        <w:rPr>
          <w:rFonts w:asciiTheme="minorHAnsi" w:hAnsiTheme="minorHAnsi" w:cstheme="minorHAnsi"/>
          <w:sz w:val="22"/>
          <w:szCs w:val="22"/>
        </w:rPr>
        <w:t>Postgraduate Diploma: up to 60 credits</w:t>
      </w:r>
    </w:p>
    <w:p w:rsidRPr="004866A4" w:rsidR="006345C4" w:rsidP="006345C4" w:rsidRDefault="006345C4">
      <w:pPr>
        <w:pStyle w:val="NormalWeb"/>
        <w:numPr>
          <w:ilvl w:val="0"/>
          <w:numId w:val="6"/>
        </w:numPr>
        <w:rPr>
          <w:rFonts w:asciiTheme="minorHAnsi" w:hAnsiTheme="minorHAnsi" w:cstheme="minorBidi"/>
          <w:sz w:val="22"/>
          <w:szCs w:val="22"/>
        </w:rPr>
      </w:pPr>
      <w:r w:rsidRPr="4AA448EA">
        <w:rPr>
          <w:rFonts w:asciiTheme="minorHAnsi" w:hAnsiTheme="minorHAnsi" w:cstheme="minorBidi"/>
          <w:sz w:val="22"/>
          <w:szCs w:val="22"/>
        </w:rPr>
        <w:t>Master’s Degree: up to 90 credits</w:t>
      </w:r>
    </w:p>
    <w:p w:rsidRPr="004866A4" w:rsidR="006345C4" w:rsidP="006345C4" w:rsidRDefault="006345C4">
      <w:pPr>
        <w:pStyle w:val="NormalWeb"/>
        <w:numPr>
          <w:ilvl w:val="0"/>
          <w:numId w:val="6"/>
        </w:numPr>
        <w:rPr>
          <w:rFonts w:asciiTheme="minorHAnsi" w:hAnsiTheme="minorHAnsi" w:cstheme="minorHAnsi"/>
          <w:sz w:val="22"/>
          <w:szCs w:val="22"/>
        </w:rPr>
      </w:pPr>
      <w:r w:rsidRPr="004866A4">
        <w:rPr>
          <w:rFonts w:asciiTheme="minorHAnsi" w:hAnsiTheme="minorHAnsi" w:cstheme="minorHAnsi"/>
          <w:sz w:val="22"/>
          <w:szCs w:val="22"/>
        </w:rPr>
        <w:t>PGCE: up to 60 credits</w:t>
      </w:r>
    </w:p>
    <w:p w:rsidRPr="004866A4" w:rsidR="006345C4" w:rsidP="006345C4" w:rsidRDefault="006345C4">
      <w:pPr>
        <w:pStyle w:val="Heading3"/>
        <w:rPr>
          <w:rFonts w:asciiTheme="minorHAnsi" w:hAnsiTheme="minorHAnsi" w:cstheme="minorHAnsi"/>
          <w:sz w:val="22"/>
          <w:szCs w:val="22"/>
        </w:rPr>
      </w:pPr>
      <w:r w:rsidRPr="004866A4">
        <w:rPr>
          <w:rFonts w:asciiTheme="minorHAnsi" w:hAnsiTheme="minorHAnsi" w:cstheme="minorHAnsi"/>
          <w:sz w:val="22"/>
          <w:szCs w:val="22"/>
        </w:rPr>
        <w:t>9. Study Abroad</w:t>
      </w:r>
    </w:p>
    <w:p w:rsidRPr="004866A4" w:rsidR="006345C4" w:rsidP="006345C4" w:rsidRDefault="006345C4">
      <w:pPr>
        <w:pStyle w:val="NormalWeb"/>
        <w:rPr>
          <w:rFonts w:asciiTheme="minorHAnsi" w:hAnsiTheme="minorHAnsi" w:cstheme="minorBidi"/>
          <w:sz w:val="22"/>
          <w:szCs w:val="22"/>
        </w:rPr>
      </w:pPr>
      <w:r w:rsidRPr="3E9770D8">
        <w:rPr>
          <w:rFonts w:asciiTheme="minorHAnsi" w:hAnsiTheme="minorHAnsi" w:cstheme="minorBidi"/>
          <w:sz w:val="22"/>
          <w:szCs w:val="22"/>
        </w:rPr>
        <w:t xml:space="preserve">Students participating in Study Abroad or Exchange programmes must have their </w:t>
      </w:r>
      <w:r w:rsidRPr="3E9770D8" w:rsidR="004866A4">
        <w:rPr>
          <w:rFonts w:asciiTheme="minorHAnsi" w:hAnsiTheme="minorHAnsi" w:cstheme="minorBidi"/>
          <w:sz w:val="22"/>
          <w:szCs w:val="22"/>
        </w:rPr>
        <w:t xml:space="preserve">overseas </w:t>
      </w:r>
      <w:r w:rsidRPr="3E9770D8">
        <w:rPr>
          <w:rFonts w:asciiTheme="minorHAnsi" w:hAnsiTheme="minorHAnsi" w:cstheme="minorBidi"/>
          <w:sz w:val="22"/>
          <w:szCs w:val="22"/>
        </w:rPr>
        <w:t>modules approved in advance by their Course Lead to ensure alignment with</w:t>
      </w:r>
      <w:r w:rsidRPr="3E9770D8" w:rsidR="004866A4">
        <w:rPr>
          <w:rFonts w:asciiTheme="minorHAnsi" w:hAnsiTheme="minorHAnsi" w:cstheme="minorBidi"/>
          <w:sz w:val="22"/>
          <w:szCs w:val="22"/>
        </w:rPr>
        <w:t xml:space="preserve"> their </w:t>
      </w:r>
      <w:r w:rsidRPr="3E9770D8" w:rsidR="009B66B7">
        <w:rPr>
          <w:rFonts w:asciiTheme="minorHAnsi" w:hAnsiTheme="minorHAnsi" w:cstheme="minorBidi"/>
          <w:sz w:val="22"/>
          <w:szCs w:val="22"/>
        </w:rPr>
        <w:t xml:space="preserve">St Mary’s University course, and </w:t>
      </w:r>
      <w:r w:rsidRPr="3E9770D8" w:rsidR="004866A4">
        <w:rPr>
          <w:rFonts w:asciiTheme="minorHAnsi" w:hAnsiTheme="minorHAnsi" w:cstheme="minorBidi"/>
          <w:sz w:val="22"/>
          <w:szCs w:val="22"/>
        </w:rPr>
        <w:t>course and any</w:t>
      </w:r>
      <w:r w:rsidRPr="3E9770D8">
        <w:rPr>
          <w:rFonts w:asciiTheme="minorHAnsi" w:hAnsiTheme="minorHAnsi" w:cstheme="minorBidi"/>
          <w:sz w:val="22"/>
          <w:szCs w:val="22"/>
        </w:rPr>
        <w:t xml:space="preserve"> St Mary’s learning outcomes. </w:t>
      </w:r>
      <w:r w:rsidRPr="3E9770D8" w:rsidR="004866A4">
        <w:rPr>
          <w:rFonts w:asciiTheme="minorHAnsi" w:hAnsiTheme="minorHAnsi" w:cstheme="minorBidi"/>
          <w:sz w:val="22"/>
          <w:szCs w:val="22"/>
        </w:rPr>
        <w:t xml:space="preserve">On returning </w:t>
      </w:r>
      <w:r w:rsidRPr="032E8257" w:rsidR="43DD57DD">
        <w:rPr>
          <w:rFonts w:asciiTheme="minorHAnsi" w:hAnsiTheme="minorHAnsi" w:cstheme="minorBidi"/>
          <w:sz w:val="22"/>
          <w:szCs w:val="22"/>
        </w:rPr>
        <w:t xml:space="preserve">to </w:t>
      </w:r>
      <w:r w:rsidRPr="032E8257" w:rsidR="004866A4">
        <w:rPr>
          <w:rFonts w:asciiTheme="minorHAnsi" w:hAnsiTheme="minorHAnsi" w:cstheme="minorBidi"/>
          <w:sz w:val="22"/>
          <w:szCs w:val="22"/>
        </w:rPr>
        <w:t>the</w:t>
      </w:r>
      <w:r w:rsidRPr="3E9770D8" w:rsidR="004866A4">
        <w:rPr>
          <w:rFonts w:asciiTheme="minorHAnsi" w:hAnsiTheme="minorHAnsi" w:cstheme="minorBidi"/>
          <w:sz w:val="22"/>
          <w:szCs w:val="22"/>
        </w:rPr>
        <w:t xml:space="preserve"> University, the student must provide a transcript from their h</w:t>
      </w:r>
      <w:r w:rsidRPr="3E9770D8">
        <w:rPr>
          <w:rFonts w:asciiTheme="minorHAnsi" w:hAnsiTheme="minorHAnsi" w:cstheme="minorBidi"/>
          <w:sz w:val="22"/>
          <w:szCs w:val="22"/>
        </w:rPr>
        <w:t xml:space="preserve">ost institution to Registry, </w:t>
      </w:r>
      <w:r w:rsidRPr="3E9770D8" w:rsidR="004866A4">
        <w:rPr>
          <w:rFonts w:asciiTheme="minorHAnsi" w:hAnsiTheme="minorHAnsi" w:cstheme="minorBidi"/>
          <w:sz w:val="22"/>
          <w:szCs w:val="22"/>
        </w:rPr>
        <w:t xml:space="preserve">and any credits will be imported into their student record. </w:t>
      </w:r>
    </w:p>
    <w:p w:rsidRPr="004866A4" w:rsidR="006345C4" w:rsidP="006345C4" w:rsidRDefault="00C20F70">
      <w:pPr>
        <w:pStyle w:val="NormalWeb"/>
        <w:rPr>
          <w:rFonts w:asciiTheme="minorHAnsi" w:hAnsiTheme="minorHAnsi" w:cstheme="minorBidi"/>
          <w:sz w:val="22"/>
          <w:szCs w:val="22"/>
        </w:rPr>
      </w:pPr>
      <w:r w:rsidRPr="112DC50D">
        <w:rPr>
          <w:rFonts w:asciiTheme="minorHAnsi" w:hAnsiTheme="minorHAnsi" w:cstheme="minorBidi"/>
          <w:sz w:val="22"/>
          <w:szCs w:val="22"/>
        </w:rPr>
        <w:lastRenderedPageBreak/>
        <w:t>Any m</w:t>
      </w:r>
      <w:r w:rsidRPr="112DC50D" w:rsidR="004866A4">
        <w:rPr>
          <w:rFonts w:asciiTheme="minorHAnsi" w:hAnsiTheme="minorHAnsi" w:cstheme="minorBidi"/>
          <w:sz w:val="22"/>
          <w:szCs w:val="22"/>
        </w:rPr>
        <w:t>odule m</w:t>
      </w:r>
      <w:r w:rsidRPr="112DC50D" w:rsidR="006345C4">
        <w:rPr>
          <w:rFonts w:asciiTheme="minorHAnsi" w:hAnsiTheme="minorHAnsi" w:cstheme="minorBidi"/>
          <w:sz w:val="22"/>
          <w:szCs w:val="22"/>
        </w:rPr>
        <w:t xml:space="preserve">arks achieved during Study Abroad do not contribute to the final award classification, </w:t>
      </w:r>
      <w:r w:rsidRPr="15434ACC" w:rsidR="4F0E5209">
        <w:rPr>
          <w:rFonts w:asciiTheme="minorHAnsi" w:hAnsiTheme="minorHAnsi" w:cstheme="minorBidi"/>
          <w:sz w:val="22"/>
          <w:szCs w:val="22"/>
        </w:rPr>
        <w:t xml:space="preserve">which </w:t>
      </w:r>
      <w:r w:rsidRPr="15434ACC" w:rsidR="004866A4">
        <w:rPr>
          <w:rFonts w:asciiTheme="minorHAnsi" w:hAnsiTheme="minorHAnsi" w:cstheme="minorBidi"/>
          <w:sz w:val="22"/>
          <w:szCs w:val="22"/>
        </w:rPr>
        <w:t>is</w:t>
      </w:r>
      <w:r w:rsidRPr="112DC50D" w:rsidR="004866A4">
        <w:rPr>
          <w:rFonts w:asciiTheme="minorHAnsi" w:hAnsiTheme="minorHAnsi" w:cstheme="minorBidi"/>
          <w:sz w:val="22"/>
          <w:szCs w:val="22"/>
        </w:rPr>
        <w:t xml:space="preserve"> </w:t>
      </w:r>
      <w:r w:rsidRPr="112DC50D" w:rsidR="006345C4">
        <w:rPr>
          <w:rFonts w:asciiTheme="minorHAnsi" w:hAnsiTheme="minorHAnsi" w:cstheme="minorBidi"/>
          <w:sz w:val="22"/>
          <w:szCs w:val="22"/>
        </w:rPr>
        <w:t xml:space="preserve">calculated using module grades obtained </w:t>
      </w:r>
      <w:r w:rsidRPr="76E3B920" w:rsidR="65E0AA47">
        <w:rPr>
          <w:rFonts w:asciiTheme="minorHAnsi" w:hAnsiTheme="minorHAnsi" w:cstheme="minorBidi"/>
          <w:sz w:val="22"/>
          <w:szCs w:val="22"/>
        </w:rPr>
        <w:t xml:space="preserve">only </w:t>
      </w:r>
      <w:r w:rsidRPr="76E3B920" w:rsidR="006345C4">
        <w:rPr>
          <w:rFonts w:asciiTheme="minorHAnsi" w:hAnsiTheme="minorHAnsi" w:cstheme="minorBidi"/>
          <w:sz w:val="22"/>
          <w:szCs w:val="22"/>
        </w:rPr>
        <w:t>at</w:t>
      </w:r>
      <w:r w:rsidRPr="112DC50D" w:rsidR="006345C4">
        <w:rPr>
          <w:rFonts w:asciiTheme="minorHAnsi" w:hAnsiTheme="minorHAnsi" w:cstheme="minorBidi"/>
          <w:sz w:val="22"/>
          <w:szCs w:val="22"/>
        </w:rPr>
        <w:t xml:space="preserve"> </w:t>
      </w:r>
      <w:r w:rsidRPr="4882756F" w:rsidR="006345C4">
        <w:rPr>
          <w:rFonts w:asciiTheme="minorHAnsi" w:hAnsiTheme="minorHAnsi" w:cstheme="minorBidi"/>
          <w:sz w:val="22"/>
          <w:szCs w:val="22"/>
        </w:rPr>
        <w:t>St</w:t>
      </w:r>
      <w:r w:rsidRPr="112DC50D" w:rsidR="006345C4">
        <w:rPr>
          <w:rFonts w:asciiTheme="minorHAnsi" w:hAnsiTheme="minorHAnsi" w:cstheme="minorBidi"/>
          <w:sz w:val="22"/>
          <w:szCs w:val="22"/>
        </w:rPr>
        <w:t xml:space="preserve"> Mary’s University.</w:t>
      </w:r>
    </w:p>
    <w:p w:rsidRPr="004866A4" w:rsidR="006345C4" w:rsidP="006345C4" w:rsidRDefault="006345C4">
      <w:pPr>
        <w:pStyle w:val="Heading3"/>
        <w:rPr>
          <w:rFonts w:asciiTheme="minorHAnsi" w:hAnsiTheme="minorHAnsi" w:cstheme="minorHAnsi"/>
          <w:sz w:val="22"/>
          <w:szCs w:val="22"/>
        </w:rPr>
      </w:pPr>
      <w:r w:rsidRPr="004866A4">
        <w:rPr>
          <w:rFonts w:asciiTheme="minorHAnsi" w:hAnsiTheme="minorHAnsi" w:cstheme="minorHAnsi"/>
          <w:sz w:val="22"/>
          <w:szCs w:val="22"/>
        </w:rPr>
        <w:t>10. Credit Accumulation and Award Classification</w:t>
      </w:r>
    </w:p>
    <w:p w:rsidRPr="004866A4" w:rsidR="006345C4" w:rsidP="006345C4" w:rsidRDefault="006345C4">
      <w:pPr>
        <w:pStyle w:val="NormalWeb"/>
        <w:rPr>
          <w:rFonts w:asciiTheme="minorHAnsi" w:hAnsiTheme="minorHAnsi" w:cstheme="minorHAnsi"/>
          <w:sz w:val="22"/>
          <w:szCs w:val="22"/>
        </w:rPr>
      </w:pPr>
      <w:r w:rsidRPr="004866A4">
        <w:rPr>
          <w:rStyle w:val="Strong"/>
          <w:rFonts w:asciiTheme="minorHAnsi" w:hAnsiTheme="minorHAnsi" w:cstheme="minorHAnsi"/>
          <w:sz w:val="22"/>
          <w:szCs w:val="22"/>
        </w:rPr>
        <w:t>10.1 Use of Recognised Credit</w:t>
      </w:r>
      <w:r w:rsidRPr="004866A4">
        <w:rPr>
          <w:rFonts w:asciiTheme="minorHAnsi" w:hAnsiTheme="minorHAnsi" w:cstheme="minorHAnsi"/>
          <w:sz w:val="22"/>
          <w:szCs w:val="22"/>
        </w:rPr>
        <w:br/>
      </w:r>
      <w:proofErr w:type="spellStart"/>
      <w:r w:rsidRPr="004866A4">
        <w:rPr>
          <w:rFonts w:asciiTheme="minorHAnsi" w:hAnsiTheme="minorHAnsi" w:cstheme="minorHAnsi"/>
          <w:sz w:val="22"/>
          <w:szCs w:val="22"/>
        </w:rPr>
        <w:t>Credit</w:t>
      </w:r>
      <w:proofErr w:type="spellEnd"/>
      <w:r w:rsidRPr="004866A4">
        <w:rPr>
          <w:rFonts w:asciiTheme="minorHAnsi" w:hAnsiTheme="minorHAnsi" w:cstheme="minorHAnsi"/>
          <w:sz w:val="22"/>
          <w:szCs w:val="22"/>
        </w:rPr>
        <w:t xml:space="preserve"> awarded through APL, APEL, or credit transfer counts toward the total credit required for an award but does not contribute to </w:t>
      </w:r>
      <w:r w:rsidR="000B0CFA">
        <w:rPr>
          <w:rFonts w:asciiTheme="minorHAnsi" w:hAnsiTheme="minorHAnsi" w:cstheme="minorHAnsi"/>
          <w:sz w:val="22"/>
          <w:szCs w:val="22"/>
        </w:rPr>
        <w:t xml:space="preserve">the final </w:t>
      </w:r>
      <w:r w:rsidRPr="004866A4">
        <w:rPr>
          <w:rFonts w:asciiTheme="minorHAnsi" w:hAnsiTheme="minorHAnsi" w:cstheme="minorHAnsi"/>
          <w:sz w:val="22"/>
          <w:szCs w:val="22"/>
        </w:rPr>
        <w:t>award classification.</w:t>
      </w:r>
    </w:p>
    <w:p w:rsidR="00FA3819" w:rsidP="5067F743" w:rsidRDefault="006345C4">
      <w:pPr>
        <w:pStyle w:val="NormalWeb"/>
        <w:rPr>
          <w:rFonts w:asciiTheme="minorHAnsi" w:hAnsiTheme="minorHAnsi" w:cstheme="minorBidi"/>
          <w:sz w:val="22"/>
          <w:szCs w:val="22"/>
        </w:rPr>
      </w:pPr>
      <w:r w:rsidRPr="5067F743">
        <w:rPr>
          <w:rStyle w:val="Strong"/>
          <w:rFonts w:asciiTheme="minorHAnsi" w:hAnsiTheme="minorHAnsi" w:cstheme="minorBidi"/>
          <w:sz w:val="22"/>
          <w:szCs w:val="22"/>
        </w:rPr>
        <w:t>10.2 Determination of Classification</w:t>
      </w:r>
      <w:r>
        <w:br/>
      </w:r>
      <w:r w:rsidR="000B0CFA">
        <w:rPr>
          <w:rFonts w:asciiTheme="minorHAnsi" w:hAnsiTheme="minorHAnsi" w:cstheme="minorBidi"/>
          <w:sz w:val="22"/>
          <w:szCs w:val="22"/>
        </w:rPr>
        <w:t>In line with QAA guidance, the final awa</w:t>
      </w:r>
      <w:r w:rsidRPr="5067F743">
        <w:rPr>
          <w:rFonts w:asciiTheme="minorHAnsi" w:hAnsiTheme="minorHAnsi" w:cstheme="minorBidi"/>
          <w:sz w:val="22"/>
          <w:szCs w:val="22"/>
        </w:rPr>
        <w:t xml:space="preserve">rd classification </w:t>
      </w:r>
      <w:r w:rsidRPr="5067F743" w:rsidR="3E29590C">
        <w:rPr>
          <w:rFonts w:asciiTheme="minorHAnsi" w:hAnsiTheme="minorHAnsi" w:cstheme="minorBidi"/>
          <w:sz w:val="22"/>
          <w:szCs w:val="22"/>
        </w:rPr>
        <w:t xml:space="preserve">at both PG and UG </w:t>
      </w:r>
      <w:r w:rsidR="000B0CFA">
        <w:rPr>
          <w:rFonts w:asciiTheme="minorHAnsi" w:hAnsiTheme="minorHAnsi" w:cstheme="minorBidi"/>
          <w:sz w:val="22"/>
          <w:szCs w:val="22"/>
        </w:rPr>
        <w:t xml:space="preserve">levels </w:t>
      </w:r>
      <w:r w:rsidRPr="5067F743">
        <w:rPr>
          <w:rFonts w:asciiTheme="minorHAnsi" w:hAnsiTheme="minorHAnsi" w:cstheme="minorBidi"/>
          <w:sz w:val="22"/>
          <w:szCs w:val="22"/>
        </w:rPr>
        <w:t xml:space="preserve">is based solely on </w:t>
      </w:r>
      <w:r w:rsidRPr="5067F743" w:rsidR="00C20F70">
        <w:rPr>
          <w:rFonts w:asciiTheme="minorHAnsi" w:hAnsiTheme="minorHAnsi" w:cstheme="minorBidi"/>
          <w:sz w:val="22"/>
          <w:szCs w:val="22"/>
        </w:rPr>
        <w:t xml:space="preserve">the overall module marks of modules </w:t>
      </w:r>
      <w:r w:rsidRPr="5067F743">
        <w:rPr>
          <w:rFonts w:asciiTheme="minorHAnsi" w:hAnsiTheme="minorHAnsi" w:cstheme="minorBidi"/>
          <w:sz w:val="22"/>
          <w:szCs w:val="22"/>
        </w:rPr>
        <w:t>completed at St Mary’s University</w:t>
      </w:r>
      <w:r w:rsidR="000B0CFA">
        <w:rPr>
          <w:rFonts w:asciiTheme="minorHAnsi" w:hAnsiTheme="minorHAnsi" w:cstheme="minorBidi"/>
          <w:sz w:val="22"/>
          <w:szCs w:val="22"/>
        </w:rPr>
        <w:t>.</w:t>
      </w:r>
    </w:p>
    <w:p w:rsidR="00C20F70" w:rsidP="5067F743" w:rsidRDefault="006345C4">
      <w:pPr>
        <w:pStyle w:val="NormalWeb"/>
        <w:rPr>
          <w:rFonts w:asciiTheme="minorHAnsi" w:hAnsiTheme="minorHAnsi" w:cstheme="minorBidi"/>
          <w:sz w:val="22"/>
          <w:szCs w:val="22"/>
        </w:rPr>
      </w:pPr>
      <w:bookmarkStart w:name="_GoBack" w:id="0"/>
      <w:bookmarkEnd w:id="0"/>
      <w:r w:rsidRPr="5067F743">
        <w:rPr>
          <w:rStyle w:val="Strong"/>
          <w:rFonts w:asciiTheme="minorHAnsi" w:hAnsiTheme="minorHAnsi" w:cstheme="minorBidi"/>
          <w:sz w:val="22"/>
          <w:szCs w:val="22"/>
        </w:rPr>
        <w:t>10.4 Exceptions</w:t>
      </w:r>
      <w:r>
        <w:br/>
      </w:r>
      <w:r w:rsidRPr="5067F743">
        <w:rPr>
          <w:rFonts w:asciiTheme="minorHAnsi" w:hAnsiTheme="minorHAnsi" w:cstheme="minorBidi"/>
          <w:sz w:val="22"/>
          <w:szCs w:val="22"/>
        </w:rPr>
        <w:t>The Academic Registrar, in consultation with the Course Lead</w:t>
      </w:r>
      <w:r w:rsidR="000B0CFA">
        <w:rPr>
          <w:rFonts w:asciiTheme="minorHAnsi" w:hAnsiTheme="minorHAnsi" w:cstheme="minorBidi"/>
          <w:sz w:val="22"/>
          <w:szCs w:val="22"/>
        </w:rPr>
        <w:t xml:space="preserve"> and the </w:t>
      </w:r>
      <w:r w:rsidR="00675B68">
        <w:rPr>
          <w:rFonts w:asciiTheme="minorHAnsi" w:hAnsiTheme="minorHAnsi" w:cstheme="minorBidi"/>
          <w:sz w:val="22"/>
          <w:szCs w:val="22"/>
        </w:rPr>
        <w:t>Relevant Admissions Manager</w:t>
      </w:r>
      <w:r w:rsidRPr="5067F743">
        <w:rPr>
          <w:rFonts w:asciiTheme="minorHAnsi" w:hAnsiTheme="minorHAnsi" w:cstheme="minorBidi"/>
          <w:sz w:val="22"/>
          <w:szCs w:val="22"/>
        </w:rPr>
        <w:t xml:space="preserve"> may approve exceptions where academic standards and the integrity of the award are not compromised.</w:t>
      </w:r>
      <w:r w:rsidRPr="5067F743" w:rsidR="00C20F70">
        <w:rPr>
          <w:rFonts w:asciiTheme="minorHAnsi" w:hAnsiTheme="minorHAnsi" w:cstheme="minorBidi"/>
          <w:sz w:val="22"/>
          <w:szCs w:val="22"/>
        </w:rPr>
        <w:t xml:space="preserve"> The decision of the Academic Registrar is final and there is no right of appeal. </w:t>
      </w:r>
    </w:p>
    <w:p w:rsidRPr="00C20F70" w:rsidR="006345C4" w:rsidP="00C20F70" w:rsidRDefault="006345C4">
      <w:pPr>
        <w:pStyle w:val="NormalWeb"/>
        <w:rPr>
          <w:rFonts w:asciiTheme="minorHAnsi" w:hAnsiTheme="minorHAnsi" w:cstheme="minorHAnsi"/>
          <w:b/>
          <w:sz w:val="22"/>
          <w:szCs w:val="22"/>
        </w:rPr>
      </w:pPr>
      <w:r w:rsidRPr="00C20F70">
        <w:rPr>
          <w:rFonts w:asciiTheme="minorHAnsi" w:hAnsiTheme="minorHAnsi" w:cstheme="minorHAnsi"/>
          <w:b/>
          <w:sz w:val="22"/>
          <w:szCs w:val="22"/>
        </w:rPr>
        <w:t>11. Roles and Responsibilities</w:t>
      </w:r>
    </w:p>
    <w:p w:rsidRPr="004866A4" w:rsidR="006345C4" w:rsidP="006345C4" w:rsidRDefault="00675B68">
      <w:pPr>
        <w:pStyle w:val="NormalWeb"/>
        <w:numPr>
          <w:ilvl w:val="0"/>
          <w:numId w:val="5"/>
        </w:numPr>
        <w:rPr>
          <w:rFonts w:asciiTheme="minorHAnsi" w:hAnsiTheme="minorHAnsi" w:cstheme="minorHAnsi"/>
          <w:sz w:val="22"/>
          <w:szCs w:val="22"/>
        </w:rPr>
      </w:pPr>
      <w:r>
        <w:rPr>
          <w:rStyle w:val="Strong"/>
          <w:rFonts w:asciiTheme="minorHAnsi" w:hAnsiTheme="minorHAnsi" w:cstheme="minorHAnsi"/>
          <w:sz w:val="22"/>
          <w:szCs w:val="22"/>
        </w:rPr>
        <w:t>Relevant Admissions Manager</w:t>
      </w:r>
      <w:r w:rsidRPr="004866A4" w:rsidR="006345C4">
        <w:rPr>
          <w:rStyle w:val="Strong"/>
          <w:rFonts w:asciiTheme="minorHAnsi" w:hAnsiTheme="minorHAnsi" w:cstheme="minorHAnsi"/>
          <w:sz w:val="22"/>
          <w:szCs w:val="22"/>
        </w:rPr>
        <w:t>:</w:t>
      </w:r>
      <w:r w:rsidRPr="004866A4" w:rsidR="006345C4">
        <w:rPr>
          <w:rFonts w:asciiTheme="minorHAnsi" w:hAnsiTheme="minorHAnsi" w:cstheme="minorHAnsi"/>
          <w:sz w:val="22"/>
          <w:szCs w:val="22"/>
        </w:rPr>
        <w:t xml:space="preserve"> assesses applications for admission with advanced standing</w:t>
      </w:r>
    </w:p>
    <w:p w:rsidRPr="004866A4" w:rsidR="006345C4" w:rsidP="006345C4" w:rsidRDefault="006345C4">
      <w:pPr>
        <w:pStyle w:val="NormalWeb"/>
        <w:numPr>
          <w:ilvl w:val="0"/>
          <w:numId w:val="5"/>
        </w:numPr>
        <w:rPr>
          <w:rFonts w:asciiTheme="minorHAnsi" w:hAnsiTheme="minorHAnsi" w:cstheme="minorHAnsi"/>
          <w:sz w:val="22"/>
          <w:szCs w:val="22"/>
        </w:rPr>
      </w:pPr>
      <w:r w:rsidRPr="004866A4">
        <w:rPr>
          <w:rStyle w:val="Strong"/>
          <w:rFonts w:asciiTheme="minorHAnsi" w:hAnsiTheme="minorHAnsi" w:cstheme="minorHAnsi"/>
          <w:sz w:val="22"/>
          <w:szCs w:val="22"/>
        </w:rPr>
        <w:t>Course Lead:</w:t>
      </w:r>
      <w:r w:rsidRPr="004866A4">
        <w:rPr>
          <w:rFonts w:asciiTheme="minorHAnsi" w:hAnsiTheme="minorHAnsi" w:cstheme="minorHAnsi"/>
          <w:sz w:val="22"/>
          <w:szCs w:val="22"/>
        </w:rPr>
        <w:t xml:space="preserve"> provides academic judgement on equivalence of level and learning outcomes</w:t>
      </w:r>
    </w:p>
    <w:p w:rsidRPr="00553578" w:rsidR="00D34C66" w:rsidP="0F40EE0F" w:rsidRDefault="006345C4">
      <w:pPr>
        <w:pStyle w:val="NormalWeb"/>
        <w:numPr>
          <w:ilvl w:val="0"/>
          <w:numId w:val="5"/>
        </w:numPr>
        <w:rPr>
          <w:rFonts w:asciiTheme="minorHAnsi" w:hAnsiTheme="minorHAnsi" w:cstheme="minorHAnsi"/>
          <w:sz w:val="22"/>
          <w:szCs w:val="22"/>
        </w:rPr>
      </w:pPr>
      <w:r w:rsidRPr="004866A4">
        <w:rPr>
          <w:rStyle w:val="Strong"/>
          <w:rFonts w:asciiTheme="minorHAnsi" w:hAnsiTheme="minorHAnsi" w:cstheme="minorHAnsi"/>
          <w:sz w:val="22"/>
          <w:szCs w:val="22"/>
        </w:rPr>
        <w:t>Academic Registrar:</w:t>
      </w:r>
      <w:r w:rsidRPr="004866A4">
        <w:rPr>
          <w:rFonts w:asciiTheme="minorHAnsi" w:hAnsiTheme="minorHAnsi" w:cstheme="minorHAnsi"/>
          <w:sz w:val="22"/>
          <w:szCs w:val="22"/>
        </w:rPr>
        <w:t xml:space="preserve"> oversees regulatory compliance and approves exception</w:t>
      </w:r>
    </w:p>
    <w:p w:rsidR="00D34C66" w:rsidP="0F40EE0F" w:rsidRDefault="00D34C66">
      <w:pPr>
        <w:pStyle w:val="Heading1"/>
        <w:rPr>
          <w:rFonts w:asciiTheme="minorHAnsi" w:hAnsiTheme="minorHAnsi" w:cstheme="minorBidi"/>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85"/>
        <w:gridCol w:w="5625"/>
      </w:tblGrid>
      <w:tr w:rsidRPr="00AC64D6" w:rsidR="00AC64D6" w:rsidTr="00AC64D6">
        <w:trPr>
          <w:trHeight w:val="300"/>
        </w:trPr>
        <w:tc>
          <w:tcPr>
            <w:tcW w:w="3285" w:type="dxa"/>
            <w:tcBorders>
              <w:top w:val="single" w:color="auto" w:sz="6" w:space="0"/>
              <w:left w:val="single" w:color="auto" w:sz="6" w:space="0"/>
              <w:bottom w:val="single" w:color="000000" w:sz="6" w:space="0"/>
              <w:right w:val="single" w:color="000000"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b/>
                <w:bCs/>
                <w:color w:val="000000"/>
                <w:lang w:eastAsia="en-GB"/>
              </w:rPr>
              <w:t>Document Title</w:t>
            </w:r>
            <w:r w:rsidRPr="00AC64D6">
              <w:rPr>
                <w:rFonts w:ascii="Calibri" w:hAnsi="Calibri" w:eastAsia="Times New Roman" w:cs="Calibri"/>
                <w:color w:val="000000"/>
                <w:lang w:eastAsia="en-GB"/>
              </w:rPr>
              <w:t> </w:t>
            </w:r>
          </w:p>
        </w:tc>
        <w:tc>
          <w:tcPr>
            <w:tcW w:w="5625" w:type="dxa"/>
            <w:tcBorders>
              <w:top w:val="single" w:color="auto" w:sz="6" w:space="0"/>
              <w:left w:val="single" w:color="000000" w:sz="6" w:space="0"/>
              <w:bottom w:val="single" w:color="000000" w:sz="6" w:space="0"/>
              <w:right w:val="single" w:color="auto"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color w:val="000000"/>
                <w:lang w:val="en-US" w:eastAsia="en-GB"/>
              </w:rPr>
              <w:t xml:space="preserve">Admission with Advanced Standing </w:t>
            </w:r>
            <w:r w:rsidRPr="00AC64D6">
              <w:rPr>
                <w:rFonts w:ascii="Calibri" w:hAnsi="Calibri" w:eastAsia="Times New Roman" w:cs="Calibri"/>
                <w:color w:val="000000"/>
                <w:lang w:eastAsia="en-GB"/>
              </w:rPr>
              <w:t> </w:t>
            </w:r>
          </w:p>
        </w:tc>
      </w:tr>
      <w:tr w:rsidRPr="00AC64D6" w:rsidR="00AC64D6" w:rsidTr="00AC64D6">
        <w:trPr>
          <w:trHeight w:val="300"/>
        </w:trPr>
        <w:tc>
          <w:tcPr>
            <w:tcW w:w="3285" w:type="dxa"/>
            <w:tcBorders>
              <w:top w:val="single" w:color="000000" w:sz="6" w:space="0"/>
              <w:left w:val="single" w:color="auto" w:sz="6" w:space="0"/>
              <w:bottom w:val="single" w:color="000000" w:sz="6" w:space="0"/>
              <w:right w:val="single" w:color="000000"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b/>
                <w:bCs/>
                <w:color w:val="000000"/>
                <w:lang w:eastAsia="en-GB"/>
              </w:rPr>
              <w:t>Accountable person</w:t>
            </w:r>
            <w:r w:rsidRPr="00AC64D6">
              <w:rPr>
                <w:rFonts w:ascii="Calibri" w:hAnsi="Calibri" w:eastAsia="Times New Roman" w:cs="Calibri"/>
                <w:color w:val="000000"/>
                <w:lang w:eastAsia="en-GB"/>
              </w:rPr>
              <w:t> </w:t>
            </w:r>
          </w:p>
        </w:tc>
        <w:tc>
          <w:tcPr>
            <w:tcW w:w="5625" w:type="dxa"/>
            <w:tcBorders>
              <w:top w:val="single" w:color="000000" w:sz="6" w:space="0"/>
              <w:left w:val="single" w:color="000000" w:sz="6" w:space="0"/>
              <w:bottom w:val="single" w:color="000000" w:sz="6" w:space="0"/>
              <w:right w:val="single" w:color="auto"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color w:val="000000"/>
                <w:lang w:val="en-US" w:eastAsia="en-GB"/>
              </w:rPr>
              <w:t xml:space="preserve">Helen A’Court </w:t>
            </w:r>
            <w:r w:rsidRPr="00AC64D6">
              <w:rPr>
                <w:rFonts w:ascii="Calibri" w:hAnsi="Calibri" w:eastAsia="Times New Roman" w:cs="Calibri"/>
                <w:color w:val="000000"/>
                <w:lang w:eastAsia="en-GB"/>
              </w:rPr>
              <w:t> </w:t>
            </w:r>
          </w:p>
        </w:tc>
      </w:tr>
      <w:tr w:rsidRPr="00AC64D6" w:rsidR="00AC64D6" w:rsidTr="00AC64D6">
        <w:trPr>
          <w:trHeight w:val="300"/>
        </w:trPr>
        <w:tc>
          <w:tcPr>
            <w:tcW w:w="3285" w:type="dxa"/>
            <w:tcBorders>
              <w:top w:val="single" w:color="000000" w:sz="6" w:space="0"/>
              <w:left w:val="single" w:color="auto" w:sz="6" w:space="0"/>
              <w:bottom w:val="single" w:color="000000" w:sz="6" w:space="0"/>
              <w:right w:val="single" w:color="000000"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b/>
                <w:bCs/>
                <w:color w:val="000000"/>
                <w:lang w:eastAsia="en-GB"/>
              </w:rPr>
              <w:t>Author – Job Title </w:t>
            </w:r>
            <w:r w:rsidRPr="00AC64D6">
              <w:rPr>
                <w:rFonts w:ascii="Calibri" w:hAnsi="Calibri" w:eastAsia="Times New Roman" w:cs="Calibri"/>
                <w:color w:val="000000"/>
                <w:lang w:eastAsia="en-GB"/>
              </w:rPr>
              <w:t> </w:t>
            </w:r>
          </w:p>
        </w:tc>
        <w:tc>
          <w:tcPr>
            <w:tcW w:w="5625" w:type="dxa"/>
            <w:tcBorders>
              <w:top w:val="single" w:color="000000" w:sz="6" w:space="0"/>
              <w:left w:val="single" w:color="000000" w:sz="6" w:space="0"/>
              <w:bottom w:val="single" w:color="000000" w:sz="6" w:space="0"/>
              <w:right w:val="single" w:color="auto"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color w:val="000000"/>
                <w:lang w:val="en-US" w:eastAsia="en-GB"/>
              </w:rPr>
              <w:t xml:space="preserve"> </w:t>
            </w:r>
            <w:r w:rsidRPr="00AC64D6">
              <w:rPr>
                <w:rFonts w:ascii="Calibri" w:hAnsi="Calibri" w:eastAsia="Times New Roman" w:cs="Calibri"/>
                <w:color w:val="000000"/>
                <w:lang w:val="en-US" w:eastAsia="en-GB"/>
              </w:rPr>
              <w:t xml:space="preserve">Academic Registrar </w:t>
            </w:r>
            <w:r w:rsidRPr="00AC64D6">
              <w:rPr>
                <w:rFonts w:ascii="Calibri" w:hAnsi="Calibri" w:eastAsia="Times New Roman" w:cs="Calibri"/>
                <w:color w:val="000000"/>
                <w:lang w:eastAsia="en-GB"/>
              </w:rPr>
              <w:t> </w:t>
            </w:r>
          </w:p>
        </w:tc>
      </w:tr>
      <w:tr w:rsidRPr="00AC64D6" w:rsidR="00AC64D6" w:rsidTr="00AC64D6">
        <w:trPr>
          <w:trHeight w:val="300"/>
        </w:trPr>
        <w:tc>
          <w:tcPr>
            <w:tcW w:w="3285" w:type="dxa"/>
            <w:tcBorders>
              <w:top w:val="single" w:color="000000" w:sz="6" w:space="0"/>
              <w:left w:val="single" w:color="auto" w:sz="6" w:space="0"/>
              <w:bottom w:val="single" w:color="000000" w:sz="6" w:space="0"/>
              <w:right w:val="single" w:color="000000"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b/>
                <w:bCs/>
                <w:color w:val="000000"/>
                <w:lang w:eastAsia="en-GB"/>
              </w:rPr>
              <w:t>Document date</w:t>
            </w:r>
            <w:r w:rsidRPr="00AC64D6">
              <w:rPr>
                <w:rFonts w:ascii="Calibri" w:hAnsi="Calibri" w:eastAsia="Times New Roman" w:cs="Calibri"/>
                <w:color w:val="000000"/>
                <w:lang w:eastAsia="en-GB"/>
              </w:rPr>
              <w:t> </w:t>
            </w:r>
          </w:p>
        </w:tc>
        <w:tc>
          <w:tcPr>
            <w:tcW w:w="5625" w:type="dxa"/>
            <w:tcBorders>
              <w:top w:val="single" w:color="000000" w:sz="6" w:space="0"/>
              <w:left w:val="single" w:color="000000" w:sz="6" w:space="0"/>
              <w:bottom w:val="single" w:color="000000" w:sz="6" w:space="0"/>
              <w:right w:val="single" w:color="auto" w:sz="6" w:space="0"/>
            </w:tcBorders>
            <w:hideMark/>
          </w:tcPr>
          <w:p w:rsidRPr="00AC64D6" w:rsidR="00AC64D6" w:rsidP="00AC64D6" w:rsidRDefault="00061A23">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color w:val="000000"/>
                <w:lang w:val="en-US" w:eastAsia="en-GB"/>
              </w:rPr>
              <w:t>January 2026</w:t>
            </w:r>
          </w:p>
        </w:tc>
      </w:tr>
      <w:tr w:rsidRPr="00AC64D6" w:rsidR="00AC64D6" w:rsidTr="00AC64D6">
        <w:trPr>
          <w:trHeight w:val="300"/>
        </w:trPr>
        <w:tc>
          <w:tcPr>
            <w:tcW w:w="3285" w:type="dxa"/>
            <w:tcBorders>
              <w:top w:val="single" w:color="000000" w:sz="6" w:space="0"/>
              <w:left w:val="single" w:color="auto" w:sz="6" w:space="0"/>
              <w:bottom w:val="single" w:color="000000" w:sz="6" w:space="0"/>
              <w:right w:val="single" w:color="000000"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b/>
                <w:bCs/>
                <w:color w:val="000000"/>
                <w:lang w:eastAsia="en-GB"/>
              </w:rPr>
              <w:t>Effective from</w:t>
            </w:r>
            <w:r w:rsidRPr="00AC64D6">
              <w:rPr>
                <w:rFonts w:ascii="Calibri" w:hAnsi="Calibri" w:eastAsia="Times New Roman" w:cs="Calibri"/>
                <w:color w:val="000000"/>
                <w:lang w:eastAsia="en-GB"/>
              </w:rPr>
              <w:t> </w:t>
            </w:r>
          </w:p>
        </w:tc>
        <w:tc>
          <w:tcPr>
            <w:tcW w:w="5625" w:type="dxa"/>
            <w:tcBorders>
              <w:top w:val="single" w:color="000000" w:sz="6" w:space="0"/>
              <w:left w:val="single" w:color="000000" w:sz="6" w:space="0"/>
              <w:bottom w:val="single" w:color="000000" w:sz="6" w:space="0"/>
              <w:right w:val="single" w:color="auto" w:sz="6" w:space="0"/>
            </w:tcBorders>
            <w:hideMark/>
          </w:tcPr>
          <w:p w:rsidRPr="00AC64D6" w:rsidR="00AC64D6" w:rsidP="00AC64D6" w:rsidRDefault="00B71D2F">
            <w:pPr>
              <w:spacing w:after="0" w:line="240" w:lineRule="auto"/>
              <w:textAlignment w:val="baseline"/>
              <w:rPr>
                <w:rFonts w:ascii="Segoe UI" w:hAnsi="Segoe UI" w:eastAsia="Times New Roman" w:cs="Segoe UI"/>
                <w:sz w:val="18"/>
                <w:szCs w:val="18"/>
                <w:lang w:eastAsia="en-GB"/>
              </w:rPr>
            </w:pPr>
            <w:r>
              <w:rPr>
                <w:rFonts w:ascii="Segoe UI" w:hAnsi="Segoe UI" w:eastAsia="Times New Roman" w:cs="Segoe UI"/>
                <w:sz w:val="18"/>
                <w:szCs w:val="18"/>
                <w:lang w:eastAsia="en-GB"/>
              </w:rPr>
              <w:t>February 2026</w:t>
            </w:r>
          </w:p>
        </w:tc>
      </w:tr>
      <w:tr w:rsidRPr="00AC64D6" w:rsidR="00AC64D6" w:rsidTr="00AC64D6">
        <w:trPr>
          <w:trHeight w:val="300"/>
        </w:trPr>
        <w:tc>
          <w:tcPr>
            <w:tcW w:w="3285" w:type="dxa"/>
            <w:tcBorders>
              <w:top w:val="single" w:color="000000" w:sz="6" w:space="0"/>
              <w:left w:val="single" w:color="auto" w:sz="6" w:space="0"/>
              <w:bottom w:val="single" w:color="000000" w:sz="6" w:space="0"/>
              <w:right w:val="single" w:color="000000"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b/>
                <w:bCs/>
                <w:color w:val="000000"/>
                <w:lang w:eastAsia="en-GB"/>
              </w:rPr>
              <w:t>Review date</w:t>
            </w:r>
            <w:r w:rsidRPr="00AC64D6">
              <w:rPr>
                <w:rFonts w:ascii="Calibri" w:hAnsi="Calibri" w:eastAsia="Times New Roman" w:cs="Calibri"/>
                <w:color w:val="000000"/>
                <w:lang w:eastAsia="en-GB"/>
              </w:rPr>
              <w:t> </w:t>
            </w:r>
          </w:p>
        </w:tc>
        <w:tc>
          <w:tcPr>
            <w:tcW w:w="5625" w:type="dxa"/>
            <w:tcBorders>
              <w:top w:val="single" w:color="000000" w:sz="6" w:space="0"/>
              <w:left w:val="single" w:color="000000" w:sz="6" w:space="0"/>
              <w:bottom w:val="single" w:color="000000" w:sz="6" w:space="0"/>
              <w:right w:val="single" w:color="auto"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color w:val="000000"/>
                <w:lang w:eastAsia="en-GB"/>
              </w:rPr>
              <w:t> </w:t>
            </w:r>
            <w:r w:rsidR="00EF6348">
              <w:rPr>
                <w:rFonts w:ascii="Calibri" w:hAnsi="Calibri" w:eastAsia="Times New Roman" w:cs="Calibri"/>
                <w:color w:val="000000"/>
                <w:lang w:eastAsia="en-GB"/>
              </w:rPr>
              <w:t>July 2027</w:t>
            </w:r>
          </w:p>
        </w:tc>
      </w:tr>
      <w:tr w:rsidRPr="00AC64D6" w:rsidR="00AC64D6" w:rsidTr="00AC64D6">
        <w:trPr>
          <w:trHeight w:val="300"/>
        </w:trPr>
        <w:tc>
          <w:tcPr>
            <w:tcW w:w="3285" w:type="dxa"/>
            <w:tcBorders>
              <w:top w:val="single" w:color="000000" w:sz="6" w:space="0"/>
              <w:left w:val="single" w:color="auto" w:sz="6" w:space="0"/>
              <w:bottom w:val="single" w:color="000000" w:sz="6" w:space="0"/>
              <w:right w:val="single" w:color="000000"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b/>
                <w:bCs/>
                <w:color w:val="000000"/>
                <w:lang w:eastAsia="en-GB"/>
              </w:rPr>
              <w:t>Version</w:t>
            </w:r>
            <w:r w:rsidRPr="00AC64D6">
              <w:rPr>
                <w:rFonts w:ascii="Calibri" w:hAnsi="Calibri" w:eastAsia="Times New Roman" w:cs="Calibri"/>
                <w:color w:val="000000"/>
                <w:lang w:eastAsia="en-GB"/>
              </w:rPr>
              <w:t> </w:t>
            </w:r>
          </w:p>
        </w:tc>
        <w:tc>
          <w:tcPr>
            <w:tcW w:w="5625" w:type="dxa"/>
            <w:tcBorders>
              <w:top w:val="single" w:color="000000" w:sz="6" w:space="0"/>
              <w:left w:val="single" w:color="000000" w:sz="6" w:space="0"/>
              <w:bottom w:val="single" w:color="000000" w:sz="6" w:space="0"/>
              <w:right w:val="single" w:color="auto"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color w:val="000000"/>
                <w:lang w:val="en-US" w:eastAsia="en-GB"/>
              </w:rPr>
              <w:t>1</w:t>
            </w:r>
            <w:r w:rsidRPr="00AC64D6">
              <w:rPr>
                <w:rFonts w:ascii="Calibri" w:hAnsi="Calibri" w:eastAsia="Times New Roman" w:cs="Calibri"/>
                <w:color w:val="000000"/>
                <w:lang w:eastAsia="en-GB"/>
              </w:rPr>
              <w:t> </w:t>
            </w:r>
          </w:p>
        </w:tc>
      </w:tr>
      <w:tr w:rsidRPr="00AC64D6" w:rsidR="00AC64D6" w:rsidTr="00AC64D6">
        <w:trPr>
          <w:trHeight w:val="300"/>
        </w:trPr>
        <w:tc>
          <w:tcPr>
            <w:tcW w:w="3285" w:type="dxa"/>
            <w:tcBorders>
              <w:top w:val="single" w:color="000000" w:sz="6" w:space="0"/>
              <w:left w:val="single" w:color="auto" w:sz="6" w:space="0"/>
              <w:bottom w:val="single" w:color="auto" w:sz="6" w:space="0"/>
              <w:right w:val="single" w:color="000000"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b/>
                <w:bCs/>
                <w:color w:val="000000"/>
                <w:lang w:eastAsia="en-GB"/>
              </w:rPr>
              <w:t>Related policies</w:t>
            </w:r>
            <w:r w:rsidRPr="00AC64D6">
              <w:rPr>
                <w:rFonts w:ascii="Calibri" w:hAnsi="Calibri" w:eastAsia="Times New Roman" w:cs="Calibri"/>
                <w:color w:val="000000"/>
                <w:lang w:eastAsia="en-GB"/>
              </w:rPr>
              <w:t> </w:t>
            </w:r>
          </w:p>
        </w:tc>
        <w:tc>
          <w:tcPr>
            <w:tcW w:w="5625" w:type="dxa"/>
            <w:tcBorders>
              <w:top w:val="single" w:color="000000" w:sz="6" w:space="0"/>
              <w:left w:val="single" w:color="000000" w:sz="6" w:space="0"/>
              <w:bottom w:val="single" w:color="auto" w:sz="6" w:space="0"/>
              <w:right w:val="single" w:color="auto" w:sz="6" w:space="0"/>
            </w:tcBorders>
            <w:hideMark/>
          </w:tcPr>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r w:rsidRPr="00AC64D6">
              <w:rPr>
                <w:rFonts w:ascii="Calibri" w:hAnsi="Calibri" w:eastAsia="Times New Roman" w:cs="Calibri"/>
                <w:color w:val="000000"/>
                <w:lang w:val="en-US" w:eastAsia="en-GB"/>
              </w:rPr>
              <w:t>Academic Regulations</w:t>
            </w:r>
            <w:r w:rsidRPr="00AC64D6">
              <w:rPr>
                <w:rFonts w:ascii="Calibri" w:hAnsi="Calibri" w:eastAsia="Times New Roman" w:cs="Calibri"/>
                <w:color w:val="000000"/>
                <w:lang w:eastAsia="en-GB"/>
              </w:rPr>
              <w:t> </w:t>
            </w:r>
          </w:p>
          <w:p w:rsidRPr="00AC64D6" w:rsidR="00AC64D6" w:rsidP="00AC64D6" w:rsidRDefault="00AC64D6">
            <w:pPr>
              <w:spacing w:after="0" w:line="240" w:lineRule="auto"/>
              <w:textAlignment w:val="baseline"/>
              <w:rPr>
                <w:rFonts w:ascii="Segoe UI" w:hAnsi="Segoe UI" w:eastAsia="Times New Roman" w:cs="Segoe UI"/>
                <w:sz w:val="18"/>
                <w:szCs w:val="18"/>
                <w:lang w:eastAsia="en-GB"/>
              </w:rPr>
            </w:pPr>
          </w:p>
        </w:tc>
      </w:tr>
    </w:tbl>
    <w:p w:rsidRPr="001723F6" w:rsidR="00AC64D6" w:rsidP="00113699" w:rsidRDefault="00AC64D6">
      <w:pPr>
        <w:rPr>
          <w:rFonts w:cstheme="minorHAnsi"/>
        </w:rPr>
      </w:pPr>
    </w:p>
    <w:sectPr w:rsidRPr="001723F6" w:rsidR="00AC64D6" w:rsidSect="00553578">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40F"/>
    <w:multiLevelType w:val="multilevel"/>
    <w:tmpl w:val="7D82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745FA"/>
    <w:multiLevelType w:val="multilevel"/>
    <w:tmpl w:val="7DF6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64109"/>
    <w:multiLevelType w:val="multilevel"/>
    <w:tmpl w:val="4F4A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8776E"/>
    <w:multiLevelType w:val="multilevel"/>
    <w:tmpl w:val="00C6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B370B"/>
    <w:multiLevelType w:val="multilevel"/>
    <w:tmpl w:val="9FAC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830EA"/>
    <w:multiLevelType w:val="multilevel"/>
    <w:tmpl w:val="5C2A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770CC"/>
    <w:multiLevelType w:val="multilevel"/>
    <w:tmpl w:val="D0A4CB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733FC"/>
    <w:multiLevelType w:val="multilevel"/>
    <w:tmpl w:val="35B613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D5449"/>
    <w:multiLevelType w:val="multilevel"/>
    <w:tmpl w:val="74D6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E7715"/>
    <w:multiLevelType w:val="multilevel"/>
    <w:tmpl w:val="7340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00067"/>
    <w:multiLevelType w:val="multilevel"/>
    <w:tmpl w:val="162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51494"/>
    <w:multiLevelType w:val="multilevel"/>
    <w:tmpl w:val="47D8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137F6"/>
    <w:multiLevelType w:val="multilevel"/>
    <w:tmpl w:val="2EA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B96F5D"/>
    <w:multiLevelType w:val="hybridMultilevel"/>
    <w:tmpl w:val="18C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C5CCD"/>
    <w:multiLevelType w:val="multilevel"/>
    <w:tmpl w:val="C59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65432"/>
    <w:multiLevelType w:val="multilevel"/>
    <w:tmpl w:val="6E2A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9355B8"/>
    <w:multiLevelType w:val="hybridMultilevel"/>
    <w:tmpl w:val="6E38F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11"/>
  </w:num>
  <w:num w:numId="4">
    <w:abstractNumId w:val="1"/>
  </w:num>
  <w:num w:numId="5">
    <w:abstractNumId w:val="15"/>
  </w:num>
  <w:num w:numId="6">
    <w:abstractNumId w:val="14"/>
  </w:num>
  <w:num w:numId="7">
    <w:abstractNumId w:val="9"/>
  </w:num>
  <w:num w:numId="8">
    <w:abstractNumId w:val="12"/>
  </w:num>
  <w:num w:numId="9">
    <w:abstractNumId w:val="5"/>
  </w:num>
  <w:num w:numId="10">
    <w:abstractNumId w:val="6"/>
  </w:num>
  <w:num w:numId="11">
    <w:abstractNumId w:val="10"/>
  </w:num>
  <w:num w:numId="12">
    <w:abstractNumId w:val="4"/>
  </w:num>
  <w:num w:numId="13">
    <w:abstractNumId w:val="2"/>
  </w:num>
  <w:num w:numId="14">
    <w:abstractNumId w:val="0"/>
  </w:num>
  <w:num w:numId="15">
    <w:abstractNumId w:val="3"/>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1E"/>
    <w:rsid w:val="00005C5C"/>
    <w:rsid w:val="00061A23"/>
    <w:rsid w:val="00064A37"/>
    <w:rsid w:val="000715DA"/>
    <w:rsid w:val="000B0CFA"/>
    <w:rsid w:val="000B395F"/>
    <w:rsid w:val="00113699"/>
    <w:rsid w:val="00113C16"/>
    <w:rsid w:val="001417C1"/>
    <w:rsid w:val="001723F6"/>
    <w:rsid w:val="00200E2A"/>
    <w:rsid w:val="002D2BA7"/>
    <w:rsid w:val="00336B5D"/>
    <w:rsid w:val="003470DE"/>
    <w:rsid w:val="00390FC1"/>
    <w:rsid w:val="003F33F0"/>
    <w:rsid w:val="004866A4"/>
    <w:rsid w:val="004A19C0"/>
    <w:rsid w:val="004B5DC2"/>
    <w:rsid w:val="00553578"/>
    <w:rsid w:val="005D2121"/>
    <w:rsid w:val="005D74EA"/>
    <w:rsid w:val="006345C4"/>
    <w:rsid w:val="00675B68"/>
    <w:rsid w:val="006B6393"/>
    <w:rsid w:val="00805108"/>
    <w:rsid w:val="00882183"/>
    <w:rsid w:val="008D6297"/>
    <w:rsid w:val="008F491E"/>
    <w:rsid w:val="00937F7E"/>
    <w:rsid w:val="009467F5"/>
    <w:rsid w:val="00948BBF"/>
    <w:rsid w:val="009933D1"/>
    <w:rsid w:val="009B66B7"/>
    <w:rsid w:val="00A37059"/>
    <w:rsid w:val="00A42D20"/>
    <w:rsid w:val="00A55540"/>
    <w:rsid w:val="00A97936"/>
    <w:rsid w:val="00AC64D6"/>
    <w:rsid w:val="00B27332"/>
    <w:rsid w:val="00B552FB"/>
    <w:rsid w:val="00B71D2F"/>
    <w:rsid w:val="00BC3061"/>
    <w:rsid w:val="00C003FF"/>
    <w:rsid w:val="00C151DE"/>
    <w:rsid w:val="00C20238"/>
    <w:rsid w:val="00C20F70"/>
    <w:rsid w:val="00D34C66"/>
    <w:rsid w:val="00E2436E"/>
    <w:rsid w:val="00EB6436"/>
    <w:rsid w:val="00EE466F"/>
    <w:rsid w:val="00EF6348"/>
    <w:rsid w:val="00FA3819"/>
    <w:rsid w:val="00FF2FF0"/>
    <w:rsid w:val="032E8257"/>
    <w:rsid w:val="06E8D508"/>
    <w:rsid w:val="0755F29B"/>
    <w:rsid w:val="0A6BD6F4"/>
    <w:rsid w:val="0AC555A7"/>
    <w:rsid w:val="0ADC25D9"/>
    <w:rsid w:val="0B71AB4C"/>
    <w:rsid w:val="0EFFEA60"/>
    <w:rsid w:val="0F40EE0F"/>
    <w:rsid w:val="10423B7F"/>
    <w:rsid w:val="10B6E048"/>
    <w:rsid w:val="112DC50D"/>
    <w:rsid w:val="11C53B6B"/>
    <w:rsid w:val="13ED5517"/>
    <w:rsid w:val="150607D4"/>
    <w:rsid w:val="15434ACC"/>
    <w:rsid w:val="1A1432A3"/>
    <w:rsid w:val="1A548DD5"/>
    <w:rsid w:val="1C7CF43A"/>
    <w:rsid w:val="1D39F7BC"/>
    <w:rsid w:val="1E914129"/>
    <w:rsid w:val="2214D29A"/>
    <w:rsid w:val="2296C036"/>
    <w:rsid w:val="22F3F579"/>
    <w:rsid w:val="23C9A812"/>
    <w:rsid w:val="25D8CF6F"/>
    <w:rsid w:val="25ECBA28"/>
    <w:rsid w:val="2732AE7F"/>
    <w:rsid w:val="29E138DF"/>
    <w:rsid w:val="2A023C2F"/>
    <w:rsid w:val="2AB43AE5"/>
    <w:rsid w:val="2ABA4674"/>
    <w:rsid w:val="2B54793D"/>
    <w:rsid w:val="2B93190F"/>
    <w:rsid w:val="2C27F9C9"/>
    <w:rsid w:val="2C954254"/>
    <w:rsid w:val="2CFB025A"/>
    <w:rsid w:val="31D51C71"/>
    <w:rsid w:val="3337263B"/>
    <w:rsid w:val="3456649B"/>
    <w:rsid w:val="34C7B011"/>
    <w:rsid w:val="35D1ADED"/>
    <w:rsid w:val="35F9D4CF"/>
    <w:rsid w:val="3D941C38"/>
    <w:rsid w:val="3E29590C"/>
    <w:rsid w:val="3E9770D8"/>
    <w:rsid w:val="3E9810DC"/>
    <w:rsid w:val="43814E09"/>
    <w:rsid w:val="438E5D4A"/>
    <w:rsid w:val="43DD57DD"/>
    <w:rsid w:val="43F34424"/>
    <w:rsid w:val="4646BADA"/>
    <w:rsid w:val="469E0926"/>
    <w:rsid w:val="4882756F"/>
    <w:rsid w:val="495BBF27"/>
    <w:rsid w:val="496BA9BD"/>
    <w:rsid w:val="4AA448EA"/>
    <w:rsid w:val="4C1A7576"/>
    <w:rsid w:val="4D09887D"/>
    <w:rsid w:val="4D57492B"/>
    <w:rsid w:val="4D6CDD6E"/>
    <w:rsid w:val="4DEC3356"/>
    <w:rsid w:val="4F0E5209"/>
    <w:rsid w:val="5067F743"/>
    <w:rsid w:val="5230CFF1"/>
    <w:rsid w:val="53459C3A"/>
    <w:rsid w:val="5590C2B4"/>
    <w:rsid w:val="577F8C49"/>
    <w:rsid w:val="5AEA336B"/>
    <w:rsid w:val="5BE982F3"/>
    <w:rsid w:val="5F831A85"/>
    <w:rsid w:val="5FBF51C9"/>
    <w:rsid w:val="62F2F0D4"/>
    <w:rsid w:val="65E0AA47"/>
    <w:rsid w:val="6891EA00"/>
    <w:rsid w:val="68AC74D0"/>
    <w:rsid w:val="691E56C9"/>
    <w:rsid w:val="6A072B30"/>
    <w:rsid w:val="6C1E5642"/>
    <w:rsid w:val="6CE6424F"/>
    <w:rsid w:val="6DC60FB5"/>
    <w:rsid w:val="6F85ABBB"/>
    <w:rsid w:val="71B1C142"/>
    <w:rsid w:val="72C8BA32"/>
    <w:rsid w:val="72EBFF72"/>
    <w:rsid w:val="76DB0F2F"/>
    <w:rsid w:val="76E3B920"/>
    <w:rsid w:val="7784C590"/>
    <w:rsid w:val="7995ABED"/>
    <w:rsid w:val="7D86B63D"/>
    <w:rsid w:val="7E803C89"/>
    <w:rsid w:val="7FFA4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ED3F"/>
  <w15:chartTrackingRefBased/>
  <w15:docId w15:val="{D9CD676E-880B-446C-8739-17CE0BCE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723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723F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723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136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3F6"/>
    <w:pPr>
      <w:ind w:left="720"/>
      <w:contextualSpacing/>
    </w:pPr>
  </w:style>
  <w:style w:type="character" w:customStyle="1" w:styleId="Heading1Char">
    <w:name w:val="Heading 1 Char"/>
    <w:basedOn w:val="DefaultParagraphFont"/>
    <w:link w:val="Heading1"/>
    <w:uiPriority w:val="9"/>
    <w:rsid w:val="001723F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723F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723F6"/>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1723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723F6"/>
    <w:rPr>
      <w:i/>
      <w:iCs/>
    </w:rPr>
  </w:style>
  <w:style w:type="character" w:styleId="Strong">
    <w:name w:val="Strong"/>
    <w:basedOn w:val="DefaultParagraphFont"/>
    <w:uiPriority w:val="22"/>
    <w:qFormat/>
    <w:rsid w:val="001723F6"/>
    <w:rPr>
      <w:b/>
      <w:bCs/>
    </w:rPr>
  </w:style>
  <w:style w:type="character" w:customStyle="1" w:styleId="Heading4Char">
    <w:name w:val="Heading 4 Char"/>
    <w:basedOn w:val="DefaultParagraphFont"/>
    <w:link w:val="Heading4"/>
    <w:uiPriority w:val="9"/>
    <w:semiHidden/>
    <w:rsid w:val="00113699"/>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AC64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C64D6"/>
  </w:style>
  <w:style w:type="character" w:customStyle="1" w:styleId="eop">
    <w:name w:val="eop"/>
    <w:basedOn w:val="DefaultParagraphFont"/>
    <w:rsid w:val="00AC64D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53578"/>
    <w:rPr>
      <w:color w:val="0563C1" w:themeColor="hyperlink"/>
      <w:u w:val="single"/>
    </w:rPr>
  </w:style>
  <w:style w:type="character" w:styleId="UnresolvedMention">
    <w:name w:val="Unresolved Mention"/>
    <w:basedOn w:val="DefaultParagraphFont"/>
    <w:uiPriority w:val="99"/>
    <w:semiHidden/>
    <w:unhideWhenUsed/>
    <w:rsid w:val="00553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chrome-extension://efaidnbmnnnibpcajpcglclefindmkaj/https:/www.stmarys.ac.uk/policies/docs/academic-regulations-2025-26-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DB8D6F4E4CF741A54B636D967DC90B" ma:contentTypeVersion="14" ma:contentTypeDescription="Create a new document." ma:contentTypeScope="" ma:versionID="2d5b3a18aa23987d2eb8b5abf4f9a95e">
  <xsd:schema xmlns:xsd="http://www.w3.org/2001/XMLSchema" xmlns:xs="http://www.w3.org/2001/XMLSchema" xmlns:p="http://schemas.microsoft.com/office/2006/metadata/properties" xmlns:ns2="3e8bbb83-cf68-4d8a-8058-166001a15691" xmlns:ns3="f97f0730-e0c7-4bb0-a862-2d73b1c8b4e5" targetNamespace="http://schemas.microsoft.com/office/2006/metadata/properties" ma:root="true" ma:fieldsID="250ab27842850b98eac8640e2fa68789" ns2:_="" ns3:_="">
    <xsd:import namespace="3e8bbb83-cf68-4d8a-8058-166001a15691"/>
    <xsd:import namespace="f97f0730-e0c7-4bb0-a862-2d73b1c8b4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bb83-cf68-4d8a-8058-166001a15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5fb22-0559-4a01-99f6-a695058b864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f0730-e0c7-4bb0-a862-2d73b1c8b4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8bbb83-cf68-4d8a-8058-166001a156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C3120F-B994-437A-84C9-56A08CD2C5C2}">
  <ds:schemaRefs>
    <ds:schemaRef ds:uri="http://schemas.microsoft.com/sharepoint/v3/contenttype/forms"/>
  </ds:schemaRefs>
</ds:datastoreItem>
</file>

<file path=customXml/itemProps2.xml><?xml version="1.0" encoding="utf-8"?>
<ds:datastoreItem xmlns:ds="http://schemas.openxmlformats.org/officeDocument/2006/customXml" ds:itemID="{4521EFB7-9572-4E00-A2B7-106027FDE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bb83-cf68-4d8a-8058-166001a15691"/>
    <ds:schemaRef ds:uri="f97f0730-e0c7-4bb0-a862-2d73b1c8b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B827BC-93DF-4566-AE41-EE3E4A2F1504}">
  <ds:schemaRefs>
    <ds:schemaRef ds:uri="http://schemas.microsoft.com/office/2006/metadata/properties"/>
    <ds:schemaRef ds:uri="http://schemas.microsoft.com/office/infopath/2007/PartnerControls"/>
    <ds:schemaRef ds:uri="3e8bbb83-cf68-4d8a-8058-166001a15691"/>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Admission with advanced standing final</dc:title>
  <dc:subject>The 2026 St Mary's University policy for admission with advanced standing.</dc:subject>
  <dc:creator>Helen A'Court</dc:creator>
  <cp:keywords>
  </cp:keywords>
  <dc:description>
  </dc:description>
  <cp:lastModifiedBy>Angus Janes</cp:lastModifiedBy>
  <cp:revision>5</cp:revision>
  <cp:lastPrinted>2025-12-23T10:39:00Z</cp:lastPrinted>
  <dcterms:created xsi:type="dcterms:W3CDTF">2026-02-09T13:02:00Z</dcterms:created>
  <dcterms:modified xsi:type="dcterms:W3CDTF">2026-02-27T14:32:58Z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0x010100F0DB8D6F4E4CF741A54B636D967DC90B</vt:lpwstr>
  </property>
  <property fmtid="{D5CDD505-2E9C-101B-9397-08002B2CF9AE}" pid="3" name="MediaServiceImageTags">
    <vt:lpwstr/>
  </property>
</Properties>
</file>